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F16ACF" w:rsidTr="0085017D">
        <w:trPr>
          <w:trHeight w:val="465"/>
        </w:trPr>
        <w:tc>
          <w:tcPr>
            <w:tcW w:w="9464" w:type="dxa"/>
            <w:shd w:val="clear" w:color="auto" w:fill="FDE9D9"/>
          </w:tcPr>
          <w:p w:rsidR="00627D75" w:rsidRPr="00F16ACF" w:rsidRDefault="002715B4" w:rsidP="002715B4">
            <w:pPr>
              <w:pStyle w:val="Nzev"/>
              <w:spacing w:before="120" w:after="120" w:line="240" w:lineRule="auto"/>
              <w:rPr>
                <w:rFonts w:ascii="Arial" w:hAnsi="Arial" w:cs="Arial"/>
                <w:sz w:val="20"/>
                <w:szCs w:val="20"/>
              </w:rPr>
            </w:pPr>
            <w:r w:rsidRPr="00F16ACF">
              <w:rPr>
                <w:rFonts w:ascii="Arial" w:hAnsi="Arial" w:cs="Arial"/>
                <w:sz w:val="20"/>
                <w:szCs w:val="20"/>
                <w:lang w:val="cs-CZ"/>
              </w:rPr>
              <w:t>Technické podmínky</w:t>
            </w:r>
          </w:p>
        </w:tc>
      </w:tr>
    </w:tbl>
    <w:p w:rsidR="0034703B" w:rsidRPr="00F16ACF" w:rsidRDefault="0034703B" w:rsidP="007E6FEB">
      <w:pPr>
        <w:tabs>
          <w:tab w:val="left" w:pos="993"/>
        </w:tabs>
        <w:spacing w:before="240" w:after="120"/>
        <w:jc w:val="both"/>
        <w:rPr>
          <w:rFonts w:ascii="Arial" w:hAnsi="Arial" w:cs="Arial"/>
          <w:b/>
          <w:sz w:val="20"/>
          <w:szCs w:val="20"/>
          <w:u w:val="single"/>
        </w:rPr>
      </w:pPr>
    </w:p>
    <w:p w:rsidR="00F16ACF" w:rsidRDefault="00F16ACF" w:rsidP="006F2099">
      <w:pPr>
        <w:tabs>
          <w:tab w:val="left" w:pos="993"/>
        </w:tabs>
        <w:spacing w:after="120" w:line="360" w:lineRule="auto"/>
        <w:jc w:val="both"/>
        <w:rPr>
          <w:rFonts w:ascii="Arial" w:hAnsi="Arial" w:cs="Arial"/>
          <w:b/>
          <w:sz w:val="20"/>
          <w:szCs w:val="20"/>
          <w:u w:val="single"/>
        </w:rPr>
      </w:pPr>
      <w:r w:rsidRPr="006F2099">
        <w:rPr>
          <w:rFonts w:ascii="Arial" w:hAnsi="Arial" w:cs="Arial"/>
          <w:b/>
          <w:sz w:val="20"/>
          <w:szCs w:val="20"/>
          <w:u w:val="single"/>
        </w:rPr>
        <w:t>„</w:t>
      </w:r>
      <w:r w:rsidR="006F2099" w:rsidRPr="006F2099">
        <w:rPr>
          <w:rFonts w:ascii="Arial" w:hAnsi="Arial" w:cs="Arial"/>
          <w:b/>
          <w:sz w:val="20"/>
          <w:szCs w:val="20"/>
          <w:u w:val="single"/>
        </w:rPr>
        <w:t>II/112 Zajíčkov, havárie svahu</w:t>
      </w:r>
      <w:r w:rsidRPr="006F2099">
        <w:rPr>
          <w:rFonts w:ascii="Arial" w:hAnsi="Arial" w:cs="Arial"/>
          <w:b/>
          <w:sz w:val="20"/>
          <w:szCs w:val="20"/>
          <w:u w:val="single"/>
        </w:rPr>
        <w:t>“</w:t>
      </w:r>
    </w:p>
    <w:p w:rsidR="006F2099" w:rsidRPr="006F2099" w:rsidRDefault="006F2099" w:rsidP="006F2099">
      <w:pPr>
        <w:spacing w:after="0" w:line="360" w:lineRule="auto"/>
        <w:jc w:val="both"/>
        <w:rPr>
          <w:rFonts w:ascii="Arial" w:eastAsia="Times New Roman" w:hAnsi="Arial" w:cs="Arial"/>
          <w:bCs/>
          <w:sz w:val="20"/>
          <w:szCs w:val="20"/>
          <w:u w:val="single"/>
          <w:lang w:eastAsia="cs-CZ"/>
        </w:rPr>
      </w:pPr>
      <w:r w:rsidRPr="006F2099">
        <w:rPr>
          <w:rFonts w:ascii="Arial" w:eastAsia="Times New Roman" w:hAnsi="Arial" w:cs="Arial"/>
          <w:bCs/>
          <w:sz w:val="20"/>
          <w:szCs w:val="20"/>
          <w:u w:val="single"/>
          <w:lang w:eastAsia="cs-CZ"/>
        </w:rPr>
        <w:t>Předmětem plnění je:</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geodetické zaměření předmětného území (výškopisné a polohopisné zaměření) v potřebném rozsahu řešení problému s ujíždějícím svahem</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 xml:space="preserve">vypracování inženýrsko-geologického průzkumu v místě nestabilního svahu včetně návrhu technického řešení </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vypracování projektové dokumentace ve stupni pro vydání společného záměru (DPS)</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zajištění pravomocného společného územního a stavebního záměru (ZS)</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 xml:space="preserve">zajištění všech povolení potřebných k vlastní realizaci kompletních stavebních prací a zajištění kladných vyjádření a stanovisek všech dotčených orgánů pro podání řádných žádostí o vydání stavebního záměru k příslušnému stavebnímu úřadu </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vypracování projektové dokumentace pro provádění stavby (PDPS) včetně oceněného a neoceněného soupisu prací</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výkon autorského dozoru při realizaci stavby</w:t>
      </w:r>
    </w:p>
    <w:p w:rsidR="00EE6A9E" w:rsidRPr="00EE6A9E" w:rsidRDefault="00EE6A9E" w:rsidP="00EE6A9E">
      <w:pPr>
        <w:pStyle w:val="Odstavecseseznamem"/>
        <w:overflowPunct w:val="0"/>
        <w:autoSpaceDE w:val="0"/>
        <w:autoSpaceDN w:val="0"/>
        <w:adjustRightInd w:val="0"/>
        <w:spacing w:before="120" w:after="120" w:line="360" w:lineRule="auto"/>
        <w:ind w:left="-142" w:right="-709" w:hanging="425"/>
        <w:jc w:val="center"/>
        <w:textAlignment w:val="baseline"/>
        <w:rPr>
          <w:rFonts w:ascii="Arial" w:hAnsi="Arial" w:cs="Arial"/>
          <w:b/>
          <w:bCs/>
          <w:sz w:val="20"/>
          <w:szCs w:val="20"/>
          <w:u w:val="single"/>
        </w:rPr>
      </w:pPr>
      <w:r w:rsidRPr="00EE6A9E">
        <w:rPr>
          <w:rFonts w:ascii="Arial" w:hAnsi="Arial" w:cs="Arial"/>
          <w:b/>
          <w:bCs/>
          <w:sz w:val="20"/>
          <w:szCs w:val="20"/>
          <w:u w:val="single"/>
        </w:rPr>
        <w:t>Předmětem projekčních prací je</w:t>
      </w:r>
    </w:p>
    <w:p w:rsidR="00EE6A9E" w:rsidRPr="00EE6A9E" w:rsidRDefault="00EE6A9E" w:rsidP="000116A8">
      <w:pPr>
        <w:pStyle w:val="Odstavecseseznamem"/>
        <w:overflowPunct w:val="0"/>
        <w:autoSpaceDE w:val="0"/>
        <w:autoSpaceDN w:val="0"/>
        <w:adjustRightInd w:val="0"/>
        <w:spacing w:after="0"/>
        <w:ind w:left="-567" w:right="-709"/>
        <w:textAlignment w:val="baseline"/>
        <w:rPr>
          <w:rFonts w:ascii="Arial" w:hAnsi="Arial" w:cs="Arial"/>
          <w:bCs/>
          <w:sz w:val="20"/>
          <w:szCs w:val="20"/>
        </w:rPr>
      </w:pPr>
      <w:r w:rsidRPr="00EE6A9E">
        <w:rPr>
          <w:rFonts w:ascii="Arial" w:hAnsi="Arial" w:cs="Arial"/>
          <w:sz w:val="20"/>
          <w:szCs w:val="20"/>
        </w:rPr>
        <w:t xml:space="preserve">projektová dokumentace </w:t>
      </w:r>
      <w:r w:rsidR="000116A8">
        <w:rPr>
          <w:rFonts w:ascii="Arial" w:hAnsi="Arial" w:cs="Arial"/>
          <w:sz w:val="20"/>
          <w:szCs w:val="20"/>
        </w:rPr>
        <w:t xml:space="preserve">- </w:t>
      </w:r>
      <w:r w:rsidRPr="00EE6A9E">
        <w:rPr>
          <w:rFonts w:ascii="Arial" w:hAnsi="Arial" w:cs="Arial"/>
          <w:sz w:val="20"/>
          <w:szCs w:val="20"/>
        </w:rPr>
        <w:t>nezbytné úpravy svahu vozovky silnice II/112 v obcí Zajíčkov, okres Pelhřimov, kraj Vysočina.</w:t>
      </w:r>
      <w:r w:rsidR="000116A8">
        <w:rPr>
          <w:rFonts w:ascii="Arial" w:hAnsi="Arial" w:cs="Arial"/>
          <w:sz w:val="20"/>
          <w:szCs w:val="20"/>
        </w:rPr>
        <w:t xml:space="preserve"> </w:t>
      </w:r>
      <w:r w:rsidRPr="00EE6A9E">
        <w:rPr>
          <w:rFonts w:ascii="Arial" w:hAnsi="Arial" w:cs="Arial"/>
          <w:sz w:val="20"/>
          <w:szCs w:val="20"/>
        </w:rPr>
        <w:t>Dotčený svah se nachází cca v km 67,260 – 67,319 provozního staničení, vlevo po směru staničení. Svah, o který se jedná</w:t>
      </w:r>
      <w:r>
        <w:rPr>
          <w:rFonts w:ascii="Arial" w:hAnsi="Arial" w:cs="Arial"/>
          <w:sz w:val="20"/>
          <w:szCs w:val="20"/>
        </w:rPr>
        <w:t>,</w:t>
      </w:r>
      <w:r w:rsidRPr="00EE6A9E">
        <w:rPr>
          <w:rFonts w:ascii="Arial" w:hAnsi="Arial" w:cs="Arial"/>
          <w:sz w:val="20"/>
          <w:szCs w:val="20"/>
        </w:rPr>
        <w:t xml:space="preserve"> se nachází mezi krajnice silnice II/112 a obecní komunikací. V předmětném úseku se nachází propustek silničního odvodnění v křižovatce na Rovnou 112-240P. Výsledným výstupem by měl být způsob zpevnění svahu, včetně řešení odvodnění a případných překládek inženýrských sítí. </w:t>
      </w:r>
    </w:p>
    <w:p w:rsidR="00EE6A9E" w:rsidRPr="00EE6A9E" w:rsidRDefault="00EE6A9E" w:rsidP="00EE6A9E">
      <w:pPr>
        <w:spacing w:after="0"/>
        <w:ind w:left="-567" w:right="-709"/>
        <w:rPr>
          <w:rFonts w:ascii="Arial" w:hAnsi="Arial" w:cs="Arial"/>
          <w:sz w:val="20"/>
          <w:szCs w:val="20"/>
        </w:rPr>
      </w:pPr>
      <w:r w:rsidRPr="00EE6A9E">
        <w:rPr>
          <w:rFonts w:ascii="Arial" w:hAnsi="Arial" w:cs="Arial"/>
          <w:sz w:val="20"/>
          <w:szCs w:val="20"/>
        </w:rPr>
        <w:t xml:space="preserve">Zadavatel předpokládá, že stavební realizace bude probíhat za částečného uzavřeného silničního provozu. Předpokládaná doba realizace stavebních prací – </w:t>
      </w:r>
      <w:r w:rsidRPr="00EE6A9E">
        <w:rPr>
          <w:rFonts w:ascii="Arial" w:hAnsi="Arial" w:cs="Arial"/>
          <w:b/>
          <w:sz w:val="20"/>
          <w:szCs w:val="20"/>
        </w:rPr>
        <w:t>rok 2026</w:t>
      </w:r>
      <w:r w:rsidRPr="00EE6A9E">
        <w:rPr>
          <w:rFonts w:ascii="Arial" w:hAnsi="Arial" w:cs="Arial"/>
          <w:sz w:val="20"/>
          <w:szCs w:val="20"/>
        </w:rPr>
        <w:t>.</w:t>
      </w:r>
    </w:p>
    <w:p w:rsidR="00EE6A9E" w:rsidRPr="00EE6A9E" w:rsidRDefault="00EE6A9E" w:rsidP="00EE6A9E">
      <w:pPr>
        <w:spacing w:after="0"/>
        <w:ind w:left="-567" w:right="-709"/>
        <w:rPr>
          <w:rFonts w:ascii="Arial" w:hAnsi="Arial" w:cs="Arial"/>
          <w:sz w:val="20"/>
          <w:szCs w:val="20"/>
        </w:rPr>
      </w:pPr>
      <w:r w:rsidRPr="00EE6A9E">
        <w:rPr>
          <w:rFonts w:ascii="Arial" w:hAnsi="Arial" w:cs="Arial"/>
          <w:sz w:val="20"/>
          <w:szCs w:val="20"/>
        </w:rPr>
        <w:t xml:space="preserve">PD bude řešena jako stavební objekt – </w:t>
      </w:r>
      <w:r w:rsidRPr="00EE6A9E">
        <w:rPr>
          <w:rFonts w:ascii="Arial" w:hAnsi="Arial" w:cs="Arial"/>
          <w:b/>
          <w:i/>
          <w:sz w:val="20"/>
          <w:szCs w:val="20"/>
        </w:rPr>
        <w:t>„II/112 Zajíčkov, zpevnění svahu“</w:t>
      </w:r>
      <w:r w:rsidRPr="00EE6A9E">
        <w:rPr>
          <w:rFonts w:ascii="Arial" w:hAnsi="Arial" w:cs="Arial"/>
          <w:i/>
          <w:sz w:val="20"/>
          <w:szCs w:val="20"/>
        </w:rPr>
        <w:t>.</w:t>
      </w:r>
      <w:r w:rsidRPr="00EE6A9E">
        <w:rPr>
          <w:rFonts w:ascii="Arial" w:hAnsi="Arial" w:cs="Arial"/>
          <w:sz w:val="20"/>
          <w:szCs w:val="20"/>
        </w:rPr>
        <w:t xml:space="preserve"> Plánovaný objekt se bude týkat pozemků parc. č. 506/3 – vlastník Obec Zajíčkov. Případné další pozemky vyplynou z návrhu řešení.</w:t>
      </w:r>
    </w:p>
    <w:p w:rsidR="00EE6A9E" w:rsidRPr="00EE6A9E" w:rsidRDefault="00EE6A9E" w:rsidP="00EE6A9E">
      <w:pPr>
        <w:spacing w:after="0"/>
        <w:ind w:left="-567" w:right="-709"/>
        <w:rPr>
          <w:rFonts w:ascii="Arial" w:hAnsi="Arial" w:cs="Arial"/>
          <w:sz w:val="20"/>
          <w:szCs w:val="20"/>
        </w:rPr>
      </w:pPr>
      <w:r w:rsidRPr="00EE6A9E">
        <w:rPr>
          <w:rFonts w:ascii="Arial" w:hAnsi="Arial" w:cs="Arial"/>
          <w:sz w:val="20"/>
          <w:szCs w:val="20"/>
        </w:rPr>
        <w:t>Projektové dokumentace v jednotlivých stupních budou vypracovány v rozsahu daném platnými předpisy v době zpracování a předání dokončeného předmětu plnění.</w:t>
      </w:r>
    </w:p>
    <w:p w:rsidR="00EE6A9E" w:rsidRPr="00EE6A9E" w:rsidRDefault="00EE6A9E" w:rsidP="00EE6A9E">
      <w:pPr>
        <w:spacing w:before="120" w:after="120" w:line="360" w:lineRule="auto"/>
        <w:ind w:left="-142" w:right="-709" w:hanging="425"/>
        <w:jc w:val="center"/>
        <w:rPr>
          <w:rFonts w:ascii="Arial" w:hAnsi="Arial" w:cs="Arial"/>
          <w:b/>
          <w:sz w:val="20"/>
          <w:szCs w:val="20"/>
          <w:u w:val="single"/>
        </w:rPr>
      </w:pPr>
      <w:r w:rsidRPr="00EE6A9E">
        <w:rPr>
          <w:rFonts w:ascii="Arial" w:hAnsi="Arial" w:cs="Arial"/>
          <w:b/>
          <w:sz w:val="20"/>
          <w:szCs w:val="20"/>
          <w:u w:val="single"/>
        </w:rPr>
        <w:t>Technické podmínky</w:t>
      </w:r>
    </w:p>
    <w:p w:rsidR="00EE6A9E" w:rsidRPr="00EE6A9E" w:rsidRDefault="00EE6A9E" w:rsidP="00EE6A9E">
      <w:pPr>
        <w:pStyle w:val="TPproPD"/>
        <w:spacing w:after="0"/>
        <w:ind w:left="-142" w:right="-709" w:hanging="425"/>
        <w:jc w:val="center"/>
        <w:rPr>
          <w:rFonts w:ascii="Arial" w:hAnsi="Arial" w:cs="Arial"/>
          <w:b/>
          <w:u w:val="single"/>
        </w:rPr>
      </w:pPr>
      <w:r w:rsidRPr="00EE6A9E">
        <w:rPr>
          <w:rFonts w:ascii="Arial" w:hAnsi="Arial" w:cs="Arial"/>
          <w:b/>
          <w:u w:val="single"/>
        </w:rPr>
        <w:t xml:space="preserve">Vypracování projektové dokumentace pro povolení záměru </w:t>
      </w:r>
    </w:p>
    <w:p w:rsidR="00EE6A9E" w:rsidRPr="00EE6A9E" w:rsidRDefault="00EE6A9E" w:rsidP="00EE6A9E">
      <w:pPr>
        <w:pStyle w:val="TPproPD"/>
        <w:spacing w:after="0"/>
        <w:ind w:left="-142" w:right="-709" w:hanging="425"/>
        <w:jc w:val="center"/>
        <w:rPr>
          <w:rFonts w:ascii="Arial" w:hAnsi="Arial" w:cs="Arial"/>
          <w:b/>
          <w:u w:val="single"/>
        </w:rPr>
      </w:pPr>
    </w:p>
    <w:p w:rsidR="00EE6A9E" w:rsidRPr="00EE6A9E" w:rsidRDefault="00EE6A9E" w:rsidP="00EE6A9E">
      <w:pPr>
        <w:pStyle w:val="TPproPD"/>
        <w:ind w:left="-567" w:right="-709" w:firstLine="0"/>
        <w:contextualSpacing w:val="0"/>
        <w:rPr>
          <w:rFonts w:ascii="Arial" w:hAnsi="Arial" w:cs="Arial"/>
        </w:rPr>
      </w:pPr>
      <w:r w:rsidRPr="00EE6A9E">
        <w:rPr>
          <w:rFonts w:ascii="Arial" w:hAnsi="Arial" w:cs="Arial"/>
        </w:rPr>
        <w:t xml:space="preserve">Rozsah a obsah dokumentace je stanoven Směrnicí pro dokumentaci staveb, pozemních komunikací, schválené Ministerstvem dopravy, Odborem liniových staveb a silničního správního úřadu, č. j. MD-23142/2022-930/2, ze dne 12. 7. 2022, s účinností od 1. 8. 2022.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Vyhláškou č. 227/2024 Sb., o rozsahu a obsahu projektové dokumentace staveb dopravní infrastruktury. Vyhláškou č. 405/2017 Sb. - Vyhláška, kterou se mění vyhláška č. 499/2006 Sb., o dokumentaci staveb, ve znění vyhlášky. 62/2013 Sb., a Vyhláškou č. 169/2016 Sb., o stanovení rozsahu dokumentace veřejné zakázky na stavební práce a soupisu stavebních prací, dodávek a služeb s výkazem výměr. Zákonem č. 541/2020 Sb. – Zákon o odpadech a TP 210 - Užití recyklovaných stavebních demoličních materiálů do pozemních komunikací z 12/2023 </w:t>
      </w:r>
      <w:r w:rsidRPr="00EE6A9E">
        <w:rPr>
          <w:rFonts w:ascii="Arial" w:hAnsi="Arial" w:cs="Arial"/>
          <w:b/>
          <w:u w:val="single"/>
        </w:rPr>
        <w:t>a bude obsahovat:</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vlastní návrh technického řešení zpevnění svahu, který bude proveden na základě IGP. Návrh bude projednaný na vstupním výrobním výboru. Součástí dokumentace bude řešení případných přeložek inženýrských sítí a úprava konstrukce silnice v daném rozsahu.</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 xml:space="preserve">zpracování Geometrického plánu, jeho projednání a vklad na příslušný Katastrální úřad. </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lastRenderedPageBreak/>
        <w:t>geodetické zaměření předmětného území (výškopisné a polohopisné zaměření) v potřebném rozsahu zpevnění svahu</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podrobný inženýrskogeologický, geotechnický a hydrogeologický průzkum daného území (pokud bude pro zpracování PD a vydání příslušných stanovisek a povolení nutné)</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zákres stavby do aktuální katastrální mapy</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vytyčovací výkres stavby</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Situace v měřítku min. 1:500</w:t>
      </w:r>
    </w:p>
    <w:p w:rsidR="00EE6A9E" w:rsidRPr="00EE6A9E" w:rsidRDefault="00EE6A9E" w:rsidP="00EE6A9E">
      <w:pPr>
        <w:pStyle w:val="Odstavecseseznamem"/>
        <w:overflowPunct w:val="0"/>
        <w:autoSpaceDE w:val="0"/>
        <w:autoSpaceDN w:val="0"/>
        <w:adjustRightInd w:val="0"/>
        <w:spacing w:after="0"/>
        <w:ind w:left="-142" w:right="-709"/>
        <w:contextualSpacing w:val="0"/>
        <w:jc w:val="both"/>
        <w:textAlignment w:val="baseline"/>
        <w:rPr>
          <w:rFonts w:ascii="Arial" w:hAnsi="Arial" w:cs="Arial"/>
          <w:sz w:val="20"/>
          <w:szCs w:val="20"/>
        </w:rPr>
      </w:pP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zásady organizace výstavby</w:t>
      </w:r>
    </w:p>
    <w:p w:rsidR="00EE6A9E" w:rsidRPr="00EE6A9E" w:rsidRDefault="00EE6A9E" w:rsidP="00EE6A9E">
      <w:p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       definitivní dopravní značení včetně příslušných projednání</w:t>
      </w:r>
    </w:p>
    <w:p w:rsidR="00EE6A9E" w:rsidRPr="00EE6A9E" w:rsidRDefault="00EE6A9E" w:rsidP="00EE6A9E">
      <w:pPr>
        <w:pStyle w:val="Odstavecseseznamem"/>
        <w:numPr>
          <w:ilvl w:val="0"/>
          <w:numId w:val="21"/>
        </w:numPr>
        <w:ind w:left="-142" w:right="-709" w:hanging="425"/>
        <w:jc w:val="both"/>
        <w:rPr>
          <w:rFonts w:ascii="Arial" w:hAnsi="Arial" w:cs="Arial"/>
          <w:sz w:val="20"/>
          <w:szCs w:val="20"/>
        </w:rPr>
      </w:pPr>
      <w:r w:rsidRPr="00EE6A9E">
        <w:rPr>
          <w:rFonts w:ascii="Arial" w:hAnsi="Arial" w:cs="Arial"/>
          <w:sz w:val="20"/>
          <w:szCs w:val="20"/>
        </w:rPr>
        <w:t>návrh kácení stromů včetně vyznačení v situaci, dendrologický průzkum (pokud bude pro zpracování PD a vydání příslušných stanovisek a povolení nutné), zajištění povolení ke kácení stromů je věcí zadavatele. V případě, že příslušný správní orgán povolí kácení dřevin dle PD, je nutné zjistit, zda se v dutinách stromů nenachází zvláště chráněné druhy živočichů – zejména netopýři, sovy či dřevokazní brouci (v tomto případě bude nutno zhotovitelem PD zažádat o výjimku z ochrany zvláště chráněných druhů na odboru životního prostředí Krajského úřadu Kraje Vysočina).</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záborový elaborát s tabulkou dotčených pozemků pro dočasný a trvalý zábor a zákres do katastrální mapy včetně sousedních pozemků.</w:t>
      </w:r>
    </w:p>
    <w:p w:rsidR="00EE6A9E" w:rsidRPr="00EE6A9E" w:rsidRDefault="00EE6A9E" w:rsidP="00EE6A9E">
      <w:pPr>
        <w:pStyle w:val="Odstavecseseznamem"/>
        <w:numPr>
          <w:ilvl w:val="1"/>
          <w:numId w:val="30"/>
        </w:numPr>
        <w:overflowPunct w:val="0"/>
        <w:autoSpaceDE w:val="0"/>
        <w:autoSpaceDN w:val="0"/>
        <w:adjustRightInd w:val="0"/>
        <w:spacing w:after="0"/>
        <w:ind w:left="1701" w:right="-709" w:hanging="425"/>
        <w:contextualSpacing w:val="0"/>
        <w:jc w:val="both"/>
        <w:textAlignment w:val="baseline"/>
        <w:rPr>
          <w:rFonts w:ascii="Arial" w:hAnsi="Arial" w:cs="Arial"/>
          <w:sz w:val="20"/>
          <w:szCs w:val="20"/>
        </w:rPr>
      </w:pPr>
      <w:r w:rsidRPr="00EE6A9E">
        <w:rPr>
          <w:rFonts w:ascii="Arial" w:hAnsi="Arial" w:cs="Arial"/>
          <w:sz w:val="20"/>
          <w:szCs w:val="20"/>
        </w:rPr>
        <w:t>zajištění souhlasu s vynětím pozemků trvale dotčených stavbou silnice ze ZPF a PUPFL včetně zpracování Pedologického průzkumu</w:t>
      </w:r>
    </w:p>
    <w:p w:rsidR="00EE6A9E" w:rsidRPr="00EE6A9E" w:rsidRDefault="00EE6A9E" w:rsidP="00EE6A9E">
      <w:pPr>
        <w:pStyle w:val="Odstavecseseznamem"/>
        <w:numPr>
          <w:ilvl w:val="1"/>
          <w:numId w:val="30"/>
        </w:numPr>
        <w:overflowPunct w:val="0"/>
        <w:autoSpaceDE w:val="0"/>
        <w:autoSpaceDN w:val="0"/>
        <w:adjustRightInd w:val="0"/>
        <w:spacing w:after="0"/>
        <w:ind w:left="1701" w:right="-709" w:hanging="425"/>
        <w:contextualSpacing w:val="0"/>
        <w:jc w:val="both"/>
        <w:textAlignment w:val="baseline"/>
        <w:rPr>
          <w:rFonts w:ascii="Arial" w:hAnsi="Arial" w:cs="Arial"/>
          <w:sz w:val="20"/>
          <w:szCs w:val="20"/>
        </w:rPr>
      </w:pPr>
      <w:r w:rsidRPr="00EE6A9E">
        <w:rPr>
          <w:rFonts w:ascii="Arial" w:hAnsi="Arial" w:cs="Arial"/>
          <w:sz w:val="20"/>
          <w:szCs w:val="20"/>
        </w:rPr>
        <w:t>zajištění souhlasu s dočasným vynětím pozemků dočasného záboru ze ZPF</w:t>
      </w:r>
    </w:p>
    <w:p w:rsidR="00EE6A9E" w:rsidRPr="00EE6A9E" w:rsidRDefault="00EE6A9E" w:rsidP="00EE6A9E">
      <w:pPr>
        <w:pStyle w:val="Odstavecseseznamem"/>
        <w:numPr>
          <w:ilvl w:val="1"/>
          <w:numId w:val="30"/>
        </w:numPr>
        <w:overflowPunct w:val="0"/>
        <w:autoSpaceDE w:val="0"/>
        <w:autoSpaceDN w:val="0"/>
        <w:adjustRightInd w:val="0"/>
        <w:spacing w:after="0"/>
        <w:ind w:left="1701" w:right="-709" w:hanging="425"/>
        <w:contextualSpacing w:val="0"/>
        <w:jc w:val="both"/>
        <w:textAlignment w:val="baseline"/>
        <w:rPr>
          <w:rFonts w:ascii="Arial" w:hAnsi="Arial" w:cs="Arial"/>
          <w:sz w:val="20"/>
          <w:szCs w:val="20"/>
        </w:rPr>
      </w:pPr>
      <w:r w:rsidRPr="00EE6A9E">
        <w:rPr>
          <w:rFonts w:ascii="Arial" w:hAnsi="Arial" w:cs="Arial"/>
          <w:sz w:val="20"/>
          <w:szCs w:val="20"/>
        </w:rPr>
        <w:t>součinnost zhotovitele při jednáních s vlastníky dotčených pozemků</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odhad stavebních nákladů</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prověření průběhu inženýrských sítí, přeložky inženýrských sítí</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vyřešení nakládání s odpady dle nového Zákona č. 541/2020 Sb. a dle nové Vyhlášky č. 283/2023 Sb. – vyhláška o stanovení podmínek, při jejichž splnění jsou znovuzískaná asfaltová směs a znovuzískaný penetrační makadam vedlejším produktem nebo přestávají být odpadem</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zajištění projednání, potřebných kladných vyjádření a souhlasných stanovisek všech orgánů státní správy a samosprávy, organizací a správců dotčených inženýrských sítí pro vydání záměru, vč. případného následného zapracování změn do projektové dokumentace</w:t>
      </w:r>
    </w:p>
    <w:p w:rsidR="00EE6A9E" w:rsidRPr="00EE6A9E" w:rsidRDefault="00EE6A9E" w:rsidP="00EE6A9E">
      <w:pPr>
        <w:pStyle w:val="TPproPD"/>
        <w:numPr>
          <w:ilvl w:val="0"/>
          <w:numId w:val="21"/>
        </w:numPr>
        <w:ind w:left="-142" w:right="-709" w:hanging="425"/>
        <w:rPr>
          <w:rFonts w:ascii="Arial" w:hAnsi="Arial" w:cs="Arial"/>
        </w:rPr>
      </w:pPr>
      <w:r w:rsidRPr="00EE6A9E">
        <w:rPr>
          <w:rFonts w:ascii="Arial" w:hAnsi="Arial" w:cs="Arial"/>
        </w:rPr>
        <w:t xml:space="preserve">zpracování havarijního plánu </w:t>
      </w:r>
    </w:p>
    <w:p w:rsidR="00EE6A9E" w:rsidRPr="00EE6A9E" w:rsidRDefault="00EE6A9E" w:rsidP="00EE6A9E">
      <w:pPr>
        <w:pStyle w:val="TPproPD"/>
        <w:numPr>
          <w:ilvl w:val="0"/>
          <w:numId w:val="21"/>
        </w:numPr>
        <w:ind w:left="-142" w:right="-709" w:hanging="425"/>
        <w:rPr>
          <w:rFonts w:ascii="Arial" w:hAnsi="Arial" w:cs="Arial"/>
        </w:rPr>
      </w:pPr>
      <w:r w:rsidRPr="00EE6A9E">
        <w:rPr>
          <w:rFonts w:ascii="Arial" w:hAnsi="Arial" w:cs="Arial"/>
        </w:rPr>
        <w:t xml:space="preserve">zpracování plánu BOZP ve fázi přípravy projektu </w:t>
      </w:r>
      <w:r w:rsidRPr="00EE6A9E">
        <w:rPr>
          <w:rFonts w:ascii="Arial" w:hAnsi="Arial" w:cs="Arial"/>
          <w:i/>
          <w:u w:val="single"/>
        </w:rPr>
        <w:t>– zhotovitel PD sdělí na vstupním výrobním výboru kontaktní údaje na koordinátora BOZP pro zpracování Plánu BOZP příslušnému zástupci ve věcech technických, který zajistí administraci objednávky Plánu BOZP na příslušného koordinátora BOZP</w:t>
      </w:r>
    </w:p>
    <w:p w:rsidR="00EE6A9E" w:rsidRPr="00EE6A9E" w:rsidRDefault="00EE6A9E" w:rsidP="00EE6A9E">
      <w:pPr>
        <w:pStyle w:val="TPproPD"/>
        <w:numPr>
          <w:ilvl w:val="0"/>
          <w:numId w:val="21"/>
        </w:numPr>
        <w:spacing w:after="0"/>
        <w:ind w:left="-142" w:right="-709" w:hanging="425"/>
        <w:rPr>
          <w:rFonts w:ascii="Arial" w:eastAsia="Times New Roman" w:hAnsi="Arial" w:cs="Arial"/>
        </w:rPr>
      </w:pPr>
      <w:r w:rsidRPr="00EE6A9E">
        <w:rPr>
          <w:rFonts w:ascii="Arial" w:eastAsia="Times New Roman" w:hAnsi="Arial" w:cs="Arial"/>
        </w:rPr>
        <w:t>podání žádosti o povolení stavebního záměru, zajištění vydání PS včetně potřebné inženýrské činnosti (např. dořešení změn PD v průběhu SŘ), získání doložky nabytí právní moci PS</w:t>
      </w:r>
    </w:p>
    <w:p w:rsidR="00EE6A9E" w:rsidRPr="00EE6A9E" w:rsidRDefault="00EE6A9E" w:rsidP="00EE6A9E">
      <w:pPr>
        <w:ind w:left="-142" w:right="-709" w:hanging="425"/>
        <w:contextualSpacing/>
        <w:jc w:val="both"/>
        <w:rPr>
          <w:rFonts w:ascii="Arial" w:eastAsia="Times New Roman" w:hAnsi="Arial" w:cs="Arial"/>
          <w:sz w:val="20"/>
          <w:szCs w:val="20"/>
          <w:lang w:eastAsia="cs-CZ"/>
        </w:rPr>
      </w:pPr>
      <w:r w:rsidRPr="00EE6A9E">
        <w:rPr>
          <w:rFonts w:ascii="Arial" w:eastAsia="Times New Roman" w:hAnsi="Arial" w:cs="Arial"/>
          <w:sz w:val="20"/>
          <w:szCs w:val="20"/>
          <w:lang w:eastAsia="cs-CZ"/>
        </w:rPr>
        <w:t xml:space="preserve"> </w:t>
      </w:r>
    </w:p>
    <w:p w:rsidR="00EE6A9E" w:rsidRPr="00EE6A9E" w:rsidRDefault="00EE6A9E" w:rsidP="00EE6A9E">
      <w:pPr>
        <w:ind w:left="-142" w:right="-709"/>
        <w:jc w:val="both"/>
        <w:rPr>
          <w:rFonts w:ascii="Arial" w:hAnsi="Arial" w:cs="Arial"/>
          <w:sz w:val="20"/>
          <w:szCs w:val="20"/>
        </w:rPr>
      </w:pPr>
      <w:r w:rsidRPr="00EE6A9E">
        <w:rPr>
          <w:rFonts w:ascii="Arial" w:hAnsi="Arial" w:cs="Arial"/>
          <w:sz w:val="20"/>
          <w:szCs w:val="20"/>
        </w:rPr>
        <w:t>Majetkoprávní příprava, včetně zajištění příslušných smluv není součástí předmětu plnění a bude realizována zadavatelem. Zhotovitel zajistí pouze souhlasy dotčených vlastníků pozemků na situační výkres stavby v souladu s §184 a §187, odst.2, písm.c) zákona 283/2021 Sb, Stavební zákon, v platném znění, s účinností od 1. 1. 2024. Zhotovitel je však dále povinen spolupracovat se zadavatelem při jednání s vlastníky, tj. písemně informovat vlastníky dotčených pozemků o záměru realizovat stavbu, odpovídat na případné otázky vlastníků dotčených pozemků týkajících se technických záležitostí stavby a svolat výrobní výbor za účasti vlastníků dotčených pozemků, zástupců zadavatele a zástupců obcí,  v jejímž katastru se bude záměr realizovat.</w:t>
      </w:r>
    </w:p>
    <w:p w:rsidR="00EE6A9E" w:rsidRPr="00EE6A9E" w:rsidRDefault="00EE6A9E" w:rsidP="00EE6A9E">
      <w:pPr>
        <w:spacing w:after="120"/>
        <w:ind w:left="-142" w:right="-709"/>
        <w:jc w:val="both"/>
        <w:rPr>
          <w:rFonts w:ascii="Arial" w:hAnsi="Arial" w:cs="Arial"/>
          <w:b/>
          <w:sz w:val="20"/>
          <w:szCs w:val="20"/>
        </w:rPr>
      </w:pPr>
      <w:r w:rsidRPr="00EE6A9E">
        <w:rPr>
          <w:rFonts w:ascii="Arial" w:hAnsi="Arial" w:cs="Arial"/>
          <w:sz w:val="20"/>
          <w:szCs w:val="20"/>
        </w:rPr>
        <w:t xml:space="preserve">Dokumentace bude projednána na výrobních výborech (minimálně 2x) za účasti všech orgánů, organizací a vlastníků pozemků, dotčených touto stavbou. Před dokončením a odevzdáním každého stupně projektové dokumentace (tj. DPS a PDPS) budou svolány tzv. technicko-dokumentační komise (TDK) za účasti všech orgánů, organizací a vlastníků pozemků, dotčených touto stavbou. Zadavateli bude zhotovitelem v dostatečném předstihu   </w:t>
      </w:r>
      <w:r w:rsidRPr="00EE6A9E">
        <w:rPr>
          <w:rFonts w:ascii="Arial" w:hAnsi="Arial" w:cs="Arial"/>
          <w:sz w:val="20"/>
          <w:szCs w:val="20"/>
        </w:rPr>
        <w:lastRenderedPageBreak/>
        <w:t>(7 dní) zaslána projektová dokumentace jako podklad pro TDK. Výrobní výbory a TDK svolává a zápis vyhotovuje zhotovitel projektové dokumentace.</w:t>
      </w:r>
    </w:p>
    <w:p w:rsidR="00EE6A9E" w:rsidRPr="00EE6A9E" w:rsidRDefault="00EE6A9E" w:rsidP="00EE6A9E">
      <w:pPr>
        <w:overflowPunct w:val="0"/>
        <w:autoSpaceDE w:val="0"/>
        <w:autoSpaceDN w:val="0"/>
        <w:adjustRightInd w:val="0"/>
        <w:spacing w:after="120"/>
        <w:ind w:left="-142" w:right="-709" w:hanging="425"/>
        <w:jc w:val="center"/>
        <w:textAlignment w:val="baseline"/>
        <w:rPr>
          <w:rFonts w:ascii="Arial" w:hAnsi="Arial" w:cs="Arial"/>
          <w:b/>
          <w:sz w:val="20"/>
          <w:szCs w:val="20"/>
          <w:u w:val="single"/>
        </w:rPr>
      </w:pPr>
      <w:r w:rsidRPr="00EE6A9E">
        <w:rPr>
          <w:rFonts w:ascii="Arial" w:hAnsi="Arial" w:cs="Arial"/>
          <w:b/>
          <w:sz w:val="20"/>
          <w:szCs w:val="20"/>
          <w:u w:val="single"/>
        </w:rPr>
        <w:t xml:space="preserve">Po definitivním odsouhlasení zadavatelem bude následně projektová dokumentace ve stupni pro vydání povolení záměru (DPS) předána zadavateli v tištěné podobě a na CD </w:t>
      </w:r>
      <w:r w:rsidRPr="00EE6A9E">
        <w:rPr>
          <w:rFonts w:ascii="Arial" w:hAnsi="Arial" w:cs="Arial"/>
          <w:i/>
          <w:sz w:val="20"/>
          <w:szCs w:val="20"/>
          <w:u w:val="single"/>
        </w:rPr>
        <w:t>(v plném rozsahu tištěné podoby)</w:t>
      </w:r>
      <w:r w:rsidRPr="00EE6A9E">
        <w:rPr>
          <w:rFonts w:ascii="Arial" w:hAnsi="Arial" w:cs="Arial"/>
          <w:b/>
          <w:sz w:val="20"/>
          <w:szCs w:val="20"/>
          <w:u w:val="single"/>
        </w:rPr>
        <w:t xml:space="preserve"> v následujícím počtu</w:t>
      </w:r>
    </w:p>
    <w:p w:rsidR="00EE6A9E" w:rsidRPr="00EE6A9E" w:rsidRDefault="00EE6A9E" w:rsidP="00EE6A9E">
      <w:pPr>
        <w:pStyle w:val="Odstavecseseznamem"/>
        <w:numPr>
          <w:ilvl w:val="0"/>
          <w:numId w:val="21"/>
        </w:numPr>
        <w:overflowPunct w:val="0"/>
        <w:autoSpaceDE w:val="0"/>
        <w:autoSpaceDN w:val="0"/>
        <w:adjustRightInd w:val="0"/>
        <w:spacing w:after="120"/>
        <w:ind w:left="-142" w:right="-709" w:hanging="425"/>
        <w:jc w:val="both"/>
        <w:textAlignment w:val="baseline"/>
        <w:rPr>
          <w:rFonts w:ascii="Arial" w:hAnsi="Arial" w:cs="Arial"/>
          <w:sz w:val="20"/>
          <w:szCs w:val="20"/>
        </w:rPr>
      </w:pPr>
      <w:r w:rsidRPr="00EE6A9E">
        <w:rPr>
          <w:rFonts w:ascii="Arial" w:hAnsi="Arial" w:cs="Arial"/>
          <w:sz w:val="20"/>
          <w:szCs w:val="20"/>
        </w:rPr>
        <w:t xml:space="preserve">DPS - 2x v tištěné podobě, vč. dokladové části ve všech paré, 1x v digitální podobě ve formátu *.dwg a *.pdf </w:t>
      </w:r>
    </w:p>
    <w:p w:rsidR="00EE6A9E" w:rsidRPr="00EE6A9E" w:rsidRDefault="00EE6A9E" w:rsidP="00EE6A9E">
      <w:pPr>
        <w:pStyle w:val="Odstavecseseznamem"/>
        <w:numPr>
          <w:ilvl w:val="0"/>
          <w:numId w:val="21"/>
        </w:numPr>
        <w:overflowPunct w:val="0"/>
        <w:autoSpaceDE w:val="0"/>
        <w:autoSpaceDN w:val="0"/>
        <w:adjustRightInd w:val="0"/>
        <w:spacing w:after="120"/>
        <w:ind w:left="-142" w:right="-709" w:hanging="425"/>
        <w:jc w:val="both"/>
        <w:textAlignment w:val="baseline"/>
        <w:rPr>
          <w:rFonts w:ascii="Arial" w:hAnsi="Arial" w:cs="Arial"/>
          <w:sz w:val="20"/>
          <w:szCs w:val="20"/>
        </w:rPr>
      </w:pPr>
      <w:r w:rsidRPr="00EE6A9E">
        <w:rPr>
          <w:rFonts w:ascii="Arial" w:hAnsi="Arial" w:cs="Arial"/>
          <w:sz w:val="20"/>
          <w:szCs w:val="20"/>
        </w:rPr>
        <w:t>záborový elaborát – 2x v tištěné podobě, 1x v digitální podobě ve formátu *.pdf nebo *.xls</w:t>
      </w:r>
    </w:p>
    <w:p w:rsidR="00EE6A9E" w:rsidRPr="00EE6A9E" w:rsidRDefault="00EE6A9E" w:rsidP="00EE6A9E">
      <w:pPr>
        <w:pStyle w:val="Odstavecseseznamem"/>
        <w:numPr>
          <w:ilvl w:val="0"/>
          <w:numId w:val="21"/>
        </w:numPr>
        <w:overflowPunct w:val="0"/>
        <w:autoSpaceDE w:val="0"/>
        <w:autoSpaceDN w:val="0"/>
        <w:adjustRightInd w:val="0"/>
        <w:spacing w:after="120"/>
        <w:ind w:left="-142" w:right="-709" w:hanging="425"/>
        <w:jc w:val="both"/>
        <w:textAlignment w:val="baseline"/>
        <w:rPr>
          <w:rFonts w:ascii="Arial" w:hAnsi="Arial" w:cs="Arial"/>
          <w:sz w:val="20"/>
          <w:szCs w:val="20"/>
        </w:rPr>
      </w:pPr>
      <w:r w:rsidRPr="00EE6A9E">
        <w:rPr>
          <w:rFonts w:ascii="Arial" w:hAnsi="Arial" w:cs="Arial"/>
          <w:sz w:val="20"/>
          <w:szCs w:val="20"/>
        </w:rPr>
        <w:t>geodetické zaměření – 1x v digitální podobě ve formátu *.dwg a *.pdf a vytyčovací síť vytyčovaných bodů ve formátu *.doc, *.xls nebo *.txt</w:t>
      </w:r>
    </w:p>
    <w:p w:rsidR="00EE6A9E" w:rsidRPr="00EE6A9E" w:rsidRDefault="00EE6A9E" w:rsidP="00EE6A9E">
      <w:pPr>
        <w:pStyle w:val="Odstavecseseznamem"/>
        <w:numPr>
          <w:ilvl w:val="0"/>
          <w:numId w:val="21"/>
        </w:numPr>
        <w:overflowPunct w:val="0"/>
        <w:autoSpaceDE w:val="0"/>
        <w:autoSpaceDN w:val="0"/>
        <w:adjustRightInd w:val="0"/>
        <w:spacing w:after="120" w:line="360" w:lineRule="auto"/>
        <w:ind w:left="-142" w:right="-709" w:hanging="425"/>
        <w:jc w:val="both"/>
        <w:textAlignment w:val="baseline"/>
        <w:rPr>
          <w:rFonts w:ascii="Arial" w:hAnsi="Arial" w:cs="Arial"/>
          <w:sz w:val="20"/>
          <w:szCs w:val="20"/>
        </w:rPr>
      </w:pPr>
      <w:r w:rsidRPr="00EE6A9E">
        <w:rPr>
          <w:rFonts w:ascii="Arial" w:hAnsi="Arial" w:cs="Arial"/>
          <w:sz w:val="20"/>
          <w:szCs w:val="20"/>
        </w:rPr>
        <w:t>odhad stavebních nákladů – 1x v digitální podobě ve formátu *.pdf nebo *.xls</w:t>
      </w:r>
    </w:p>
    <w:p w:rsidR="00EE6A9E" w:rsidRPr="00EE6A9E" w:rsidRDefault="00EE6A9E" w:rsidP="00EE6A9E">
      <w:pPr>
        <w:pStyle w:val="Odstavecseseznamem"/>
        <w:overflowPunct w:val="0"/>
        <w:autoSpaceDE w:val="0"/>
        <w:autoSpaceDN w:val="0"/>
        <w:adjustRightInd w:val="0"/>
        <w:spacing w:after="120" w:line="360" w:lineRule="auto"/>
        <w:ind w:left="-142" w:right="-709"/>
        <w:jc w:val="both"/>
        <w:textAlignment w:val="baseline"/>
        <w:rPr>
          <w:rFonts w:ascii="Arial" w:hAnsi="Arial" w:cs="Arial"/>
          <w:sz w:val="20"/>
          <w:szCs w:val="20"/>
        </w:rPr>
      </w:pPr>
    </w:p>
    <w:p w:rsidR="00EE6A9E" w:rsidRPr="00EE6A9E" w:rsidRDefault="00EE6A9E" w:rsidP="00EE6A9E">
      <w:pPr>
        <w:spacing w:after="240" w:line="240" w:lineRule="auto"/>
        <w:ind w:left="-142" w:right="-709" w:hanging="425"/>
        <w:jc w:val="center"/>
        <w:rPr>
          <w:rFonts w:ascii="Arial" w:hAnsi="Arial" w:cs="Arial"/>
          <w:b/>
          <w:sz w:val="20"/>
          <w:szCs w:val="20"/>
          <w:u w:val="single"/>
        </w:rPr>
      </w:pPr>
      <w:r w:rsidRPr="00EE6A9E">
        <w:rPr>
          <w:rFonts w:ascii="Arial" w:hAnsi="Arial" w:cs="Arial"/>
          <w:b/>
          <w:sz w:val="20"/>
          <w:szCs w:val="20"/>
          <w:u w:val="single"/>
        </w:rPr>
        <w:t>Vypracování dokumentace pro provádění stavby</w:t>
      </w:r>
    </w:p>
    <w:p w:rsidR="00EE6A9E" w:rsidRPr="00EE6A9E" w:rsidRDefault="00EE6A9E" w:rsidP="00EE6A9E">
      <w:pPr>
        <w:pStyle w:val="TPproPD"/>
        <w:ind w:left="-567" w:right="-709" w:firstLine="0"/>
        <w:rPr>
          <w:rFonts w:ascii="Arial" w:hAnsi="Arial" w:cs="Arial"/>
        </w:rPr>
      </w:pPr>
      <w:r w:rsidRPr="00EE6A9E">
        <w:rPr>
          <w:rFonts w:ascii="Arial" w:hAnsi="Arial" w:cs="Arial"/>
        </w:rPr>
        <w:t xml:space="preserve">Rozsah a obsah dokumentace je stanoven Směrnicí pro dokumentaci staveb, pozemních komunikací, schválené Ministerstvem dopravy, Odborem liniových staveb a silničního správního úřadu, č. j. MD-23142/2022-930/2, ze dne 12. 7. 2022, s účinností od 1. 8. 2022.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Vyhláškou č. 227/2024 Sb., o rozsahu a obsahu projektové dokumentace staveb dopravní infrastruktury. Vyhláškou č. 405/2017 Sb. - Vyhláška, kterou se mění vyhláška č. 499/2006 Sb., o dokumentaci staveb, ve znění vyhlášky. 62/2013 Sb., a Vyhláškou č. 169/2016 Sb., o stanovení rozsahu dokumentace veřejné zakázky na stavební práce a soupisu stavebních prací, dodávek a služeb s výkazem výměr. Zákonem č. 541/2020 Sb. – Zákon o odpadech a TP 210 - Užití recyklovaných stavebních demoličních materiálů do pozemních komunikací z 12/2023 </w:t>
      </w:r>
      <w:r w:rsidRPr="00EE6A9E">
        <w:rPr>
          <w:rFonts w:ascii="Arial" w:hAnsi="Arial" w:cs="Arial"/>
          <w:b/>
          <w:u w:val="single"/>
        </w:rPr>
        <w:t>a bude obsahovat:</w:t>
      </w:r>
    </w:p>
    <w:p w:rsidR="00EE6A9E" w:rsidRPr="00EE6A9E" w:rsidRDefault="00EE6A9E" w:rsidP="00EE6A9E">
      <w:pPr>
        <w:numPr>
          <w:ilvl w:val="0"/>
          <w:numId w:val="21"/>
        </w:numPr>
        <w:overflowPunct w:val="0"/>
        <w:autoSpaceDE w:val="0"/>
        <w:autoSpaceDN w:val="0"/>
        <w:adjustRightInd w:val="0"/>
        <w:spacing w:after="0" w:line="240" w:lineRule="auto"/>
        <w:ind w:left="-142" w:right="-709" w:hanging="425"/>
        <w:jc w:val="both"/>
        <w:textAlignment w:val="baseline"/>
        <w:rPr>
          <w:rFonts w:ascii="Arial" w:eastAsia="Times New Roman" w:hAnsi="Arial" w:cs="Arial"/>
          <w:sz w:val="20"/>
          <w:szCs w:val="20"/>
          <w:lang w:eastAsia="cs-CZ"/>
        </w:rPr>
      </w:pPr>
      <w:r w:rsidRPr="00EE6A9E">
        <w:rPr>
          <w:rFonts w:ascii="Arial" w:hAnsi="Arial" w:cs="Arial"/>
          <w:sz w:val="20"/>
          <w:szCs w:val="20"/>
        </w:rPr>
        <w:t>vlastní návrh technického řešení zpevnění svahu</w:t>
      </w:r>
      <w:r w:rsidRPr="00EE6A9E">
        <w:rPr>
          <w:rFonts w:ascii="Arial" w:eastAsia="Times New Roman" w:hAnsi="Arial" w:cs="Arial"/>
          <w:sz w:val="20"/>
          <w:szCs w:val="20"/>
          <w:lang w:eastAsia="cs-CZ"/>
        </w:rPr>
        <w:t xml:space="preserve"> v souladu se zpracovanou DPS.</w:t>
      </w:r>
      <w:r w:rsidRPr="00EE6A9E">
        <w:rPr>
          <w:rFonts w:ascii="Arial" w:hAnsi="Arial" w:cs="Arial"/>
          <w:sz w:val="20"/>
          <w:szCs w:val="20"/>
        </w:rPr>
        <w:t xml:space="preserve"> </w:t>
      </w:r>
      <w:r w:rsidRPr="00EE6A9E">
        <w:rPr>
          <w:rFonts w:ascii="Arial" w:eastAsia="Times New Roman" w:hAnsi="Arial" w:cs="Arial"/>
          <w:sz w:val="20"/>
          <w:szCs w:val="20"/>
          <w:lang w:eastAsia="cs-CZ"/>
        </w:rPr>
        <w:t>Součástí dokumentace bude řešení případných přeložek inženýrských sítí a úprava konstrukce silnice v daném rozsahu.</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geodetické zaměření předmětného území (výškopisné a polohopisné zaměření) v potřebném rozsahu rekonstrukce mostu</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zákres stavby do aktuální katastrální mapy</w:t>
      </w:r>
    </w:p>
    <w:p w:rsidR="00EE6A9E" w:rsidRPr="00EE6A9E" w:rsidRDefault="00EE6A9E" w:rsidP="00EE6A9E">
      <w:pPr>
        <w:pStyle w:val="Odstavecseseznamem"/>
        <w:numPr>
          <w:ilvl w:val="0"/>
          <w:numId w:val="21"/>
        </w:numPr>
        <w:overflowPunct w:val="0"/>
        <w:autoSpaceDE w:val="0"/>
        <w:autoSpaceDN w:val="0"/>
        <w:adjustRightInd w:val="0"/>
        <w:spacing w:after="0" w:line="240" w:lineRule="auto"/>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vytyčovací výkres stavby</w:t>
      </w:r>
    </w:p>
    <w:p w:rsidR="00EE6A9E" w:rsidRPr="00EE6A9E" w:rsidRDefault="00EE6A9E" w:rsidP="00EE6A9E">
      <w:pPr>
        <w:pStyle w:val="Odstavecseseznamem"/>
        <w:numPr>
          <w:ilvl w:val="0"/>
          <w:numId w:val="21"/>
        </w:numPr>
        <w:overflowPunct w:val="0"/>
        <w:autoSpaceDE w:val="0"/>
        <w:autoSpaceDN w:val="0"/>
        <w:adjustRightInd w:val="0"/>
        <w:spacing w:after="0" w:line="240" w:lineRule="auto"/>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definitivní dopravní značení včetně příslušných projednání</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Situace v měřítku 1:500</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katastrální a koordinační situace</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zásady organizace výstavby</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prověření průběhu inženýrských sítí, přeložky inženýrských sítí</w:t>
      </w:r>
    </w:p>
    <w:p w:rsidR="00EE6A9E" w:rsidRPr="00EE6A9E" w:rsidRDefault="00EE6A9E" w:rsidP="00EE6A9E">
      <w:pPr>
        <w:overflowPunct w:val="0"/>
        <w:autoSpaceDE w:val="0"/>
        <w:autoSpaceDN w:val="0"/>
        <w:adjustRightInd w:val="0"/>
        <w:spacing w:after="0"/>
        <w:ind w:right="-709" w:hanging="567"/>
        <w:jc w:val="both"/>
        <w:textAlignment w:val="baseline"/>
        <w:rPr>
          <w:rFonts w:ascii="Arial" w:eastAsia="Times New Roman" w:hAnsi="Arial" w:cs="Arial"/>
          <w:sz w:val="20"/>
          <w:szCs w:val="20"/>
          <w:lang w:eastAsia="cs-CZ"/>
        </w:rPr>
      </w:pPr>
      <w:r w:rsidRPr="00EE6A9E">
        <w:rPr>
          <w:rFonts w:ascii="Arial" w:eastAsia="Times New Roman" w:hAnsi="Arial" w:cs="Arial"/>
          <w:sz w:val="20"/>
          <w:szCs w:val="20"/>
          <w:lang w:eastAsia="cs-CZ"/>
        </w:rPr>
        <w:t xml:space="preserve">-   </w:t>
      </w:r>
      <w:r w:rsidRPr="00EE6A9E">
        <w:rPr>
          <w:rFonts w:ascii="Arial" w:hAnsi="Arial" w:cs="Arial"/>
          <w:sz w:val="20"/>
          <w:szCs w:val="20"/>
        </w:rPr>
        <w:t xml:space="preserve">    výkaz výměr s bilancí zemních prací</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dopravně inženýrská opatření (DIO) po dobu provádění stavebních prací, návrh</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objízdných tras, svislé dopravní značení pro dopravní opatření (zřízení a odstranění) bude</w:t>
      </w:r>
      <w:r w:rsidR="004D7ECC">
        <w:rPr>
          <w:rFonts w:ascii="Arial" w:hAnsi="Arial" w:cs="Arial"/>
          <w:sz w:val="20"/>
          <w:szCs w:val="20"/>
        </w:rPr>
        <w:t xml:space="preserve"> </w:t>
      </w:r>
      <w:r w:rsidRPr="00EE6A9E">
        <w:rPr>
          <w:rFonts w:ascii="Arial" w:hAnsi="Arial" w:cs="Arial"/>
          <w:sz w:val="20"/>
          <w:szCs w:val="20"/>
        </w:rPr>
        <w:t>navrženo dle TP 66 pro provizorní dopravní značení</w:t>
      </w:r>
    </w:p>
    <w:p w:rsidR="00EE6A9E" w:rsidRPr="00EE6A9E" w:rsidRDefault="00EE6A9E" w:rsidP="00EE6A9E">
      <w:p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       zpracování povodňového havarijního plánu</w:t>
      </w:r>
    </w:p>
    <w:p w:rsidR="00EE6A9E" w:rsidRPr="00EE6A9E" w:rsidRDefault="00EE6A9E" w:rsidP="00EE6A9E">
      <w:pPr>
        <w:pStyle w:val="Odstavecseseznamem"/>
        <w:numPr>
          <w:ilvl w:val="0"/>
          <w:numId w:val="29"/>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neoceněný soupis prací, oceněný soupis prací (kontrolní rozpočet pro potřeby zadavatele), soupis prací bude zpracován v rozpočtovém programu Esticon (v oborovém třídníku stavebních konstrukcí OTSKP) v souladu s vyhláškou č. 405/2017 Sb., kterou se mění vyhláška č. 499/2006 Sb., o dokumentaci staveb. Vyhláškou č. 169/2016 Sb., o stanovení rozsahu dokumentace veřejné zakázky na  stavební práce a soupisu stavebních prací, dodávek a služeb s výkazem výměr.</w:t>
      </w:r>
    </w:p>
    <w:p w:rsidR="00EE6A9E" w:rsidRPr="00EE6A9E" w:rsidRDefault="00EE6A9E" w:rsidP="00EE6A9E">
      <w:pPr>
        <w:overflowPunct w:val="0"/>
        <w:autoSpaceDE w:val="0"/>
        <w:autoSpaceDN w:val="0"/>
        <w:adjustRightInd w:val="0"/>
        <w:spacing w:after="0"/>
        <w:ind w:left="-142" w:right="-709" w:hanging="425"/>
        <w:jc w:val="both"/>
        <w:textAlignment w:val="baseline"/>
        <w:rPr>
          <w:rFonts w:ascii="Arial" w:hAnsi="Arial" w:cs="Arial"/>
          <w:sz w:val="20"/>
          <w:szCs w:val="20"/>
        </w:rPr>
      </w:pPr>
    </w:p>
    <w:p w:rsidR="00EE6A9E" w:rsidRPr="00EE6A9E" w:rsidRDefault="00EE6A9E" w:rsidP="00EE6A9E">
      <w:pPr>
        <w:spacing w:after="0" w:line="240" w:lineRule="auto"/>
        <w:ind w:left="-567" w:right="-709"/>
        <w:jc w:val="both"/>
        <w:rPr>
          <w:rFonts w:ascii="Arial" w:hAnsi="Arial" w:cs="Arial"/>
          <w:sz w:val="20"/>
          <w:szCs w:val="20"/>
        </w:rPr>
      </w:pPr>
      <w:r w:rsidRPr="00EE6A9E">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EE6A9E" w:rsidRPr="00EE6A9E" w:rsidRDefault="00EE6A9E" w:rsidP="00EE6A9E">
      <w:pPr>
        <w:overflowPunct w:val="0"/>
        <w:autoSpaceDE w:val="0"/>
        <w:autoSpaceDN w:val="0"/>
        <w:adjustRightInd w:val="0"/>
        <w:spacing w:after="120" w:line="240" w:lineRule="auto"/>
        <w:ind w:left="-142" w:right="-709" w:hanging="425"/>
        <w:jc w:val="center"/>
        <w:textAlignment w:val="baseline"/>
        <w:rPr>
          <w:rFonts w:ascii="Arial" w:hAnsi="Arial" w:cs="Arial"/>
          <w:sz w:val="20"/>
          <w:szCs w:val="20"/>
          <w:u w:val="single"/>
        </w:rPr>
      </w:pPr>
    </w:p>
    <w:p w:rsidR="00EE6A9E" w:rsidRPr="00EE6A9E" w:rsidRDefault="00EE6A9E" w:rsidP="00EE6A9E">
      <w:pPr>
        <w:overflowPunct w:val="0"/>
        <w:autoSpaceDE w:val="0"/>
        <w:autoSpaceDN w:val="0"/>
        <w:adjustRightInd w:val="0"/>
        <w:spacing w:after="120" w:line="240" w:lineRule="auto"/>
        <w:ind w:left="-142" w:right="-709" w:hanging="425"/>
        <w:jc w:val="center"/>
        <w:textAlignment w:val="baseline"/>
        <w:rPr>
          <w:rFonts w:ascii="Arial" w:hAnsi="Arial" w:cs="Arial"/>
          <w:sz w:val="20"/>
          <w:szCs w:val="20"/>
          <w:u w:val="single"/>
        </w:rPr>
      </w:pPr>
      <w:r w:rsidRPr="00EE6A9E">
        <w:rPr>
          <w:rFonts w:ascii="Arial" w:hAnsi="Arial" w:cs="Arial"/>
          <w:b/>
          <w:sz w:val="20"/>
          <w:szCs w:val="20"/>
          <w:u w:val="single"/>
        </w:rPr>
        <w:t>Po definitivním odsouhlasení objednatelem bude následně PDPS předána objednateli v tištěné podobě a na CD</w:t>
      </w:r>
      <w:r w:rsidRPr="00EE6A9E">
        <w:rPr>
          <w:rFonts w:ascii="Arial" w:hAnsi="Arial" w:cs="Arial"/>
          <w:sz w:val="20"/>
          <w:szCs w:val="20"/>
          <w:u w:val="single"/>
        </w:rPr>
        <w:t xml:space="preserve"> </w:t>
      </w:r>
      <w:r w:rsidRPr="00EE6A9E">
        <w:rPr>
          <w:rFonts w:ascii="Arial" w:hAnsi="Arial" w:cs="Arial"/>
          <w:i/>
          <w:sz w:val="20"/>
          <w:szCs w:val="20"/>
          <w:u w:val="single"/>
        </w:rPr>
        <w:t>(v plném rozsahu tištěné podoby)</w:t>
      </w:r>
      <w:r w:rsidRPr="00EE6A9E">
        <w:rPr>
          <w:rFonts w:ascii="Arial" w:hAnsi="Arial" w:cs="Arial"/>
          <w:sz w:val="20"/>
          <w:szCs w:val="20"/>
          <w:u w:val="single"/>
        </w:rPr>
        <w:t xml:space="preserve"> </w:t>
      </w:r>
      <w:r w:rsidRPr="00EE6A9E">
        <w:rPr>
          <w:rFonts w:ascii="Arial" w:hAnsi="Arial" w:cs="Arial"/>
          <w:b/>
          <w:sz w:val="20"/>
          <w:szCs w:val="20"/>
          <w:u w:val="single"/>
        </w:rPr>
        <w:t>v následujícím počtu</w:t>
      </w:r>
    </w:p>
    <w:p w:rsidR="00EE6A9E" w:rsidRPr="00EE6A9E" w:rsidRDefault="00EE6A9E" w:rsidP="00EE6A9E">
      <w:pPr>
        <w:pStyle w:val="Odstavecseseznamem"/>
        <w:overflowPunct w:val="0"/>
        <w:autoSpaceDE w:val="0"/>
        <w:autoSpaceDN w:val="0"/>
        <w:adjustRightInd w:val="0"/>
        <w:spacing w:after="120"/>
        <w:ind w:left="-142" w:right="-709" w:hanging="425"/>
        <w:jc w:val="both"/>
        <w:textAlignment w:val="baseline"/>
        <w:rPr>
          <w:rFonts w:ascii="Arial" w:hAnsi="Arial" w:cs="Arial"/>
          <w:sz w:val="20"/>
          <w:szCs w:val="20"/>
        </w:rPr>
      </w:pP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 xml:space="preserve">PDPS - 3x v tištěné podobě, 1x v digitální podobě ve formátu *.dwg a *.pdf </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Oceněný soupis prací – 1x v digitální podobě ve formátu *.xls(x), *.pdf a *.xml (exportní soubor z Esticonu v datovém předpisu XC4)</w:t>
      </w:r>
    </w:p>
    <w:p w:rsidR="00EE6A9E" w:rsidRPr="00EE6A9E" w:rsidRDefault="00EE6A9E" w:rsidP="00EE6A9E">
      <w:pPr>
        <w:pStyle w:val="TPproPD"/>
        <w:numPr>
          <w:ilvl w:val="0"/>
          <w:numId w:val="21"/>
        </w:numPr>
        <w:ind w:left="-142" w:right="-709" w:hanging="425"/>
        <w:contextualSpacing w:val="0"/>
        <w:rPr>
          <w:rFonts w:ascii="Arial" w:hAnsi="Arial" w:cs="Arial"/>
        </w:rPr>
      </w:pPr>
      <w:r w:rsidRPr="00EE6A9E">
        <w:rPr>
          <w:rFonts w:ascii="Arial" w:hAnsi="Arial" w:cs="Arial"/>
        </w:rPr>
        <w:t>Neoceněný soupis prací – 1x v digitální podobě ve formátu *.xls(x), *.pdf a *.xml (exportní soubor z Esticonu v datovém předpisu XC4)</w:t>
      </w:r>
    </w:p>
    <w:p w:rsidR="00EE6A9E" w:rsidRPr="00EE6A9E" w:rsidRDefault="00EE6A9E" w:rsidP="00EE6A9E">
      <w:pPr>
        <w:overflowPunct w:val="0"/>
        <w:autoSpaceDE w:val="0"/>
        <w:autoSpaceDN w:val="0"/>
        <w:adjustRightInd w:val="0"/>
        <w:spacing w:after="120" w:line="240" w:lineRule="auto"/>
        <w:ind w:left="-567" w:right="-709"/>
        <w:jc w:val="both"/>
        <w:textAlignment w:val="baseline"/>
        <w:rPr>
          <w:rFonts w:ascii="Arial" w:hAnsi="Arial" w:cs="Arial"/>
          <w:sz w:val="20"/>
          <w:szCs w:val="20"/>
        </w:rPr>
      </w:pPr>
      <w:r w:rsidRPr="00EE6A9E">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EE6A9E" w:rsidRPr="00EE6A9E" w:rsidRDefault="00EE6A9E" w:rsidP="00EE6A9E">
      <w:pPr>
        <w:overflowPunct w:val="0"/>
        <w:autoSpaceDE w:val="0"/>
        <w:autoSpaceDN w:val="0"/>
        <w:adjustRightInd w:val="0"/>
        <w:spacing w:after="120" w:line="240" w:lineRule="auto"/>
        <w:ind w:left="-567" w:right="-709"/>
        <w:jc w:val="both"/>
        <w:textAlignment w:val="baseline"/>
        <w:rPr>
          <w:rFonts w:ascii="Arial" w:hAnsi="Arial" w:cs="Arial"/>
          <w:sz w:val="20"/>
          <w:szCs w:val="20"/>
        </w:rPr>
      </w:pPr>
    </w:p>
    <w:p w:rsidR="00EE6A9E" w:rsidRPr="00EE6A9E" w:rsidRDefault="00EE6A9E" w:rsidP="00EE6A9E">
      <w:pPr>
        <w:overflowPunct w:val="0"/>
        <w:autoSpaceDE w:val="0"/>
        <w:autoSpaceDN w:val="0"/>
        <w:adjustRightInd w:val="0"/>
        <w:spacing w:after="120" w:line="240" w:lineRule="auto"/>
        <w:ind w:left="-567" w:right="-709"/>
        <w:jc w:val="both"/>
        <w:textAlignment w:val="baseline"/>
        <w:rPr>
          <w:rFonts w:ascii="Arial" w:hAnsi="Arial" w:cs="Arial"/>
          <w:sz w:val="20"/>
          <w:szCs w:val="20"/>
        </w:rPr>
      </w:pPr>
      <w:r w:rsidRPr="00EE6A9E">
        <w:rPr>
          <w:rFonts w:ascii="Arial" w:hAnsi="Arial" w:cs="Arial"/>
          <w:sz w:val="20"/>
          <w:szCs w:val="20"/>
        </w:rPr>
        <w:t xml:space="preserve">Digitální podoba projektové dokumentace bude předána na nosiči CD v plném rozsahu tištěné podoby. </w:t>
      </w:r>
    </w:p>
    <w:p w:rsidR="00EE6A9E" w:rsidRPr="00EE6A9E" w:rsidRDefault="00EE6A9E" w:rsidP="00EE6A9E">
      <w:pPr>
        <w:overflowPunct w:val="0"/>
        <w:autoSpaceDE w:val="0"/>
        <w:autoSpaceDN w:val="0"/>
        <w:adjustRightInd w:val="0"/>
        <w:spacing w:after="120" w:line="240" w:lineRule="auto"/>
        <w:ind w:left="-567" w:right="-709"/>
        <w:jc w:val="both"/>
        <w:textAlignment w:val="baseline"/>
        <w:rPr>
          <w:rFonts w:ascii="Arial" w:hAnsi="Arial" w:cs="Arial"/>
          <w:sz w:val="20"/>
          <w:szCs w:val="20"/>
        </w:rPr>
      </w:pPr>
      <w:r w:rsidRPr="00EE6A9E">
        <w:rPr>
          <w:rFonts w:ascii="Arial" w:hAnsi="Arial" w:cs="Arial"/>
          <w:sz w:val="20"/>
          <w:szCs w:val="20"/>
        </w:rPr>
        <w:t xml:space="preserve">Při převzetí této dokumentace bude disk zkontrolován na odkazu </w:t>
      </w:r>
      <w:hyperlink r:id="rId8" w:history="1">
        <w:r w:rsidRPr="00EE6A9E">
          <w:rPr>
            <w:rStyle w:val="Hypertextovodkaz"/>
            <w:rFonts w:ascii="Arial" w:hAnsi="Arial" w:cs="Arial"/>
            <w:sz w:val="20"/>
            <w:szCs w:val="20"/>
          </w:rPr>
          <w:t>Datový předpis XC4</w:t>
        </w:r>
      </w:hyperlink>
      <w:r w:rsidRPr="00EE6A9E">
        <w:rPr>
          <w:rStyle w:val="Hypertextovodkaz"/>
          <w:rFonts w:ascii="Arial" w:hAnsi="Arial" w:cs="Arial"/>
          <w:sz w:val="20"/>
          <w:szCs w:val="20"/>
        </w:rPr>
        <w:t xml:space="preserve"> : výsledek kontroly musí být vždy „</w:t>
      </w:r>
      <w:r w:rsidRPr="00EE6A9E">
        <w:rPr>
          <w:rFonts w:ascii="Arial" w:hAnsi="Arial" w:cs="Arial"/>
          <w:sz w:val="20"/>
          <w:szCs w:val="20"/>
          <w:u w:val="single"/>
        </w:rPr>
        <w:t>Soubor odpovídá schématu XC4 – SP</w:t>
      </w:r>
      <w:r w:rsidRPr="00EE6A9E">
        <w:rPr>
          <w:rFonts w:ascii="Arial" w:hAnsi="Arial" w:cs="Arial"/>
          <w:sz w:val="20"/>
          <w:szCs w:val="20"/>
        </w:rPr>
        <w:t xml:space="preserve">“. </w:t>
      </w:r>
    </w:p>
    <w:p w:rsidR="00EE6A9E" w:rsidRPr="00EE6A9E" w:rsidRDefault="00EE6A9E" w:rsidP="00EE6A9E">
      <w:pPr>
        <w:overflowPunct w:val="0"/>
        <w:autoSpaceDE w:val="0"/>
        <w:autoSpaceDN w:val="0"/>
        <w:adjustRightInd w:val="0"/>
        <w:spacing w:after="120" w:line="240" w:lineRule="auto"/>
        <w:ind w:left="-567" w:right="-709"/>
        <w:jc w:val="both"/>
        <w:textAlignment w:val="baseline"/>
        <w:rPr>
          <w:rFonts w:ascii="Arial" w:hAnsi="Arial" w:cs="Arial"/>
          <w:sz w:val="20"/>
          <w:szCs w:val="20"/>
        </w:rPr>
      </w:pPr>
    </w:p>
    <w:p w:rsidR="00EE6A9E" w:rsidRPr="00EE6A9E" w:rsidRDefault="00EE6A9E" w:rsidP="00EE6A9E">
      <w:pPr>
        <w:overflowPunct w:val="0"/>
        <w:autoSpaceDE w:val="0"/>
        <w:autoSpaceDN w:val="0"/>
        <w:adjustRightInd w:val="0"/>
        <w:spacing w:after="120" w:line="240" w:lineRule="auto"/>
        <w:jc w:val="center"/>
        <w:textAlignment w:val="baseline"/>
        <w:rPr>
          <w:rFonts w:ascii="Arial" w:hAnsi="Arial" w:cs="Arial"/>
          <w:b/>
          <w:sz w:val="20"/>
          <w:szCs w:val="20"/>
          <w:u w:val="single"/>
        </w:rPr>
      </w:pPr>
      <w:r w:rsidRPr="00EE6A9E">
        <w:rPr>
          <w:rFonts w:ascii="Arial" w:hAnsi="Arial" w:cs="Arial"/>
          <w:b/>
          <w:sz w:val="20"/>
          <w:szCs w:val="20"/>
          <w:u w:val="single"/>
        </w:rPr>
        <w:t>Projektová dokumentace a dokumentace pro povolení záměru</w:t>
      </w:r>
    </w:p>
    <w:p w:rsidR="00EE6A9E" w:rsidRPr="00EE6A9E" w:rsidRDefault="00EE6A9E" w:rsidP="00EE6A9E">
      <w:pPr>
        <w:tabs>
          <w:tab w:val="num" w:pos="-1560"/>
        </w:tabs>
        <w:ind w:left="-567" w:right="-709"/>
        <w:jc w:val="both"/>
        <w:rPr>
          <w:rFonts w:ascii="Arial" w:hAnsi="Arial" w:cs="Arial"/>
          <w:bCs/>
          <w:sz w:val="20"/>
          <w:szCs w:val="20"/>
        </w:rPr>
      </w:pPr>
      <w:r w:rsidRPr="00EE6A9E">
        <w:rPr>
          <w:rFonts w:ascii="Arial" w:hAnsi="Arial" w:cs="Arial"/>
          <w:bCs/>
          <w:sz w:val="20"/>
          <w:szCs w:val="20"/>
        </w:rPr>
        <w:t xml:space="preserve">Zpracování potřebných žádostí o vydání společných stavebních povolení včetně všech požadovaných příloh, vyjádření a stanovisek a podání řádných žádostí k příslušným stavebním úřadům dle jednotlivých stavebních objektů a příslušnosti k úřadu, který stavební objekty povoluje. </w:t>
      </w:r>
    </w:p>
    <w:p w:rsidR="00EE6A9E" w:rsidRPr="00EE6A9E" w:rsidRDefault="00EE6A9E" w:rsidP="00EE6A9E">
      <w:pPr>
        <w:tabs>
          <w:tab w:val="num" w:pos="-1560"/>
        </w:tabs>
        <w:spacing w:after="0"/>
        <w:ind w:left="-567" w:right="-709"/>
        <w:jc w:val="both"/>
        <w:rPr>
          <w:rFonts w:ascii="Arial" w:hAnsi="Arial" w:cs="Arial"/>
          <w:bCs/>
          <w:sz w:val="20"/>
          <w:szCs w:val="20"/>
        </w:rPr>
      </w:pPr>
      <w:r w:rsidRPr="00EE6A9E">
        <w:rPr>
          <w:rFonts w:ascii="Arial" w:hAnsi="Arial" w:cs="Arial"/>
          <w:bCs/>
          <w:sz w:val="20"/>
          <w:szCs w:val="20"/>
        </w:rPr>
        <w:t>Před podáním žádostí na příslušné stavební úřady, je zhotovitel povinen odsouhlasit si tyto žádosti včetně všech příloh se zástupci zadavatele.</w:t>
      </w:r>
    </w:p>
    <w:p w:rsidR="00EE6A9E" w:rsidRPr="00EE6A9E" w:rsidRDefault="00EE6A9E" w:rsidP="00EE6A9E">
      <w:pPr>
        <w:spacing w:before="120" w:after="120" w:line="360" w:lineRule="auto"/>
        <w:jc w:val="center"/>
        <w:rPr>
          <w:rFonts w:ascii="Arial" w:eastAsia="Times New Roman" w:hAnsi="Arial" w:cs="Arial"/>
          <w:b/>
          <w:bCs/>
          <w:sz w:val="20"/>
          <w:szCs w:val="20"/>
          <w:u w:val="single"/>
          <w:lang w:eastAsia="cs-CZ"/>
        </w:rPr>
      </w:pPr>
      <w:r w:rsidRPr="00EE6A9E">
        <w:rPr>
          <w:rFonts w:ascii="Arial" w:eastAsia="Times New Roman" w:hAnsi="Arial" w:cs="Arial"/>
          <w:b/>
          <w:bCs/>
          <w:sz w:val="20"/>
          <w:szCs w:val="20"/>
          <w:u w:val="single"/>
          <w:lang w:eastAsia="cs-CZ"/>
        </w:rPr>
        <w:t>Pravomocná povolení záměru budou předány zadavateli</w:t>
      </w:r>
    </w:p>
    <w:p w:rsidR="00EE6A9E" w:rsidRPr="00EE6A9E" w:rsidRDefault="00EE6A9E" w:rsidP="00EE6A9E">
      <w:pPr>
        <w:overflowPunct w:val="0"/>
        <w:autoSpaceDE w:val="0"/>
        <w:autoSpaceDN w:val="0"/>
        <w:adjustRightInd w:val="0"/>
        <w:spacing w:after="120"/>
        <w:ind w:left="-567"/>
        <w:jc w:val="both"/>
        <w:textAlignment w:val="baseline"/>
        <w:rPr>
          <w:rFonts w:ascii="Arial" w:hAnsi="Arial" w:cs="Arial"/>
          <w:sz w:val="20"/>
          <w:szCs w:val="20"/>
        </w:rPr>
      </w:pPr>
      <w:r w:rsidRPr="00EE6A9E">
        <w:rPr>
          <w:rFonts w:ascii="Arial" w:hAnsi="Arial" w:cs="Arial"/>
          <w:sz w:val="20"/>
          <w:szCs w:val="20"/>
        </w:rPr>
        <w:t>1x originál každého povolení stavebního záměru (SZ) v písemné podobě s vyznačením nabytí právní moci + projektová dokumentace pro povolení stavebního záměru (DPS) ověřená stavebním úřadem</w:t>
      </w:r>
    </w:p>
    <w:p w:rsidR="00EE6A9E" w:rsidRPr="00EE6A9E" w:rsidRDefault="00EE6A9E" w:rsidP="00EE6A9E">
      <w:pPr>
        <w:overflowPunct w:val="0"/>
        <w:autoSpaceDE w:val="0"/>
        <w:autoSpaceDN w:val="0"/>
        <w:adjustRightInd w:val="0"/>
        <w:spacing w:after="0" w:line="360" w:lineRule="auto"/>
        <w:ind w:left="-142" w:right="-709" w:hanging="425"/>
        <w:jc w:val="center"/>
        <w:textAlignment w:val="baseline"/>
        <w:rPr>
          <w:rFonts w:ascii="Arial" w:hAnsi="Arial" w:cs="Arial"/>
          <w:b/>
          <w:sz w:val="20"/>
          <w:szCs w:val="20"/>
          <w:u w:val="single"/>
        </w:rPr>
      </w:pPr>
      <w:r w:rsidRPr="00EE6A9E">
        <w:rPr>
          <w:rFonts w:ascii="Arial" w:hAnsi="Arial" w:cs="Arial"/>
          <w:b/>
          <w:sz w:val="20"/>
          <w:szCs w:val="20"/>
          <w:u w:val="single"/>
        </w:rPr>
        <w:t>Výkon autorského dozoru</w:t>
      </w:r>
    </w:p>
    <w:p w:rsidR="00EE6A9E" w:rsidRPr="00EE6A9E" w:rsidRDefault="00EE6A9E" w:rsidP="00EE6A9E">
      <w:pPr>
        <w:pStyle w:val="Zkladntextodsazen21"/>
        <w:spacing w:after="240" w:line="276" w:lineRule="auto"/>
        <w:ind w:left="-567" w:right="-709" w:firstLine="0"/>
        <w:rPr>
          <w:rFonts w:ascii="Arial" w:hAnsi="Arial" w:cs="Arial"/>
          <w:sz w:val="20"/>
        </w:rPr>
      </w:pPr>
      <w:r w:rsidRPr="00EE6A9E">
        <w:rPr>
          <w:rFonts w:ascii="Arial" w:hAnsi="Arial" w:cs="Arial"/>
          <w:sz w:val="20"/>
        </w:rPr>
        <w:t xml:space="preserve">Výkonem autorského dozoru (AD) se rozumí uskutečnění činností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EE6A9E" w:rsidRPr="00EE6A9E" w:rsidRDefault="00EE6A9E" w:rsidP="00EE6A9E">
      <w:pPr>
        <w:pStyle w:val="Zkladntextodsazen21"/>
        <w:spacing w:line="276" w:lineRule="auto"/>
        <w:ind w:left="-567" w:right="-709" w:firstLine="0"/>
        <w:rPr>
          <w:rFonts w:ascii="Arial" w:hAnsi="Arial" w:cs="Arial"/>
          <w:sz w:val="20"/>
        </w:rPr>
      </w:pPr>
      <w:r w:rsidRPr="00EE6A9E">
        <w:rPr>
          <w:rFonts w:ascii="Arial" w:hAnsi="Arial" w:cs="Arial"/>
          <w:sz w:val="20"/>
        </w:rPr>
        <w:t>Zhotovitel je povinen při plnění AD poskytnout svoji součinnost vždy bezodkladně poté, kdy bude k tomu zadavatelem vyzván nebo poté, kdy takovou potřebu sám zjistí.</w:t>
      </w:r>
    </w:p>
    <w:p w:rsidR="00EE6A9E" w:rsidRPr="00EE6A9E" w:rsidRDefault="00EE6A9E" w:rsidP="00EE6A9E">
      <w:pPr>
        <w:pStyle w:val="Zkladntextodsazen21"/>
        <w:spacing w:line="360" w:lineRule="auto"/>
        <w:ind w:left="-142" w:right="-709" w:hanging="425"/>
        <w:jc w:val="center"/>
        <w:rPr>
          <w:rFonts w:ascii="Arial" w:hAnsi="Arial" w:cs="Arial"/>
          <w:b/>
          <w:sz w:val="20"/>
          <w:u w:val="single"/>
        </w:rPr>
      </w:pPr>
      <w:r w:rsidRPr="00EE6A9E">
        <w:rPr>
          <w:rFonts w:ascii="Arial" w:hAnsi="Arial" w:cs="Arial"/>
          <w:b/>
          <w:sz w:val="20"/>
          <w:u w:val="single"/>
        </w:rPr>
        <w:t>Předmětem výkonu AD je především</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účastnit se předání staveniště dodavateli</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dohled nad realizací díla</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kontrola dodržování projektové dokumentace s přihlédnutím na podmínky určené stavebním záměrem, souhlasem stavebního úřadu, případně nařízením nezbytných stavebních úprav</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posuzování postupu výstavby z technického hlediska a z hlediska časového plánu výstavby</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sledování a kontrola technických a kvalitativních parametrů stavby</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v případě nutnosti zpracování změny záměru před dokončením dle § 224 stavebního zákona v platném znění, která je součástí výkonu AD jako autora díla, neprodleně po tomto zjištění zahájit projekční práce včetně zajištění všech příslušných vyjádření a dokladů nezbytných k podání žádosti dle § 184 Stavebního zákona v platném znění a dále podání žádosti včetně všech příloh na příslušný stavební úřad. Před podáním žádostí na příslušný stavební úřad je zhotovitel povinen odsouhlasit si tyto žádosti včetně všech příloh se zástupci objednatele</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řešit drobné odchylky od projektu, které nebudou vyžadovat zpracování nového projektu případně jeho části nebo dodatku projektové dokumentace</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lastRenderedPageBreak/>
        <w:t>posuzovat návrhy zadavatele stavby na změny a odchylky v částech projektů zpracovávaných v rámci realizační dokumentace z pohledu dodržení technicko-ekonomických parametrů, dodržení lhůt výstavby, případně dalších údajů a ukazatelů</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vyjádření k požadavkům na zvětšený rozsah stavebních prací a dodávek materiálu oproti projektové dokumentaci</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 xml:space="preserve">účast na kontrolních dnech stavby </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 xml:space="preserve">účast na přejímacím řízení stavby a jejích dílčích částech, případné kolaudaci stavby a řádně spolupracovat při těchto řízeních </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provádění projekčních prací menšího rozsahu (doplňky a změny)</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poskytovat technické konzultace potřebné pro plynulost výstavby</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konzultovat a podávat upřesnění při vypracování realizační dokumentace</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line="276" w:lineRule="auto"/>
        <w:ind w:left="-142" w:right="-709" w:hanging="425"/>
        <w:textAlignment w:val="auto"/>
        <w:rPr>
          <w:rFonts w:ascii="Arial" w:hAnsi="Arial" w:cs="Arial"/>
          <w:sz w:val="20"/>
          <w:szCs w:val="20"/>
        </w:rPr>
      </w:pPr>
      <w:r w:rsidRPr="00EE6A9E">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EE6A9E" w:rsidRPr="00EE6A9E" w:rsidRDefault="00EE6A9E" w:rsidP="00EE6A9E">
      <w:pPr>
        <w:pStyle w:val="Zkladntextodsazen21"/>
        <w:tabs>
          <w:tab w:val="left" w:pos="567"/>
        </w:tabs>
        <w:spacing w:line="276" w:lineRule="auto"/>
        <w:ind w:left="-567" w:right="-709" w:firstLine="0"/>
        <w:rPr>
          <w:rFonts w:ascii="Arial" w:hAnsi="Arial" w:cs="Arial"/>
          <w:iCs/>
          <w:sz w:val="20"/>
        </w:rPr>
      </w:pPr>
      <w:r w:rsidRPr="00EE6A9E">
        <w:rPr>
          <w:rFonts w:ascii="Arial" w:hAnsi="Arial" w:cs="Arial"/>
          <w:iCs/>
          <w:sz w:val="20"/>
        </w:rPr>
        <w:t>Zjistí-li autor při výkonu autorského dozoru nedodržení projektové dokumentace stavby, uvědomí bez zbytečného odkladu o této skutečnosti zadavatele a zhotovitele stavby. V odůvodněných případech uvede stručnou charakteristiku porušení dokumentace a tomu odpovídající důsledky.</w:t>
      </w:r>
    </w:p>
    <w:p w:rsidR="00EE6A9E" w:rsidRPr="00EE6A9E" w:rsidRDefault="00EE6A9E" w:rsidP="00267B3C">
      <w:pPr>
        <w:pStyle w:val="Zkladntextodsazen21"/>
        <w:tabs>
          <w:tab w:val="left" w:pos="567"/>
        </w:tabs>
        <w:spacing w:after="240" w:line="276" w:lineRule="auto"/>
        <w:ind w:left="-567" w:right="-709" w:firstLine="0"/>
        <w:rPr>
          <w:rFonts w:ascii="Arial" w:hAnsi="Arial" w:cs="Arial"/>
          <w:b/>
          <w:sz w:val="20"/>
          <w:u w:val="single"/>
        </w:rPr>
      </w:pPr>
      <w:r w:rsidRPr="00EE6A9E">
        <w:rPr>
          <w:rFonts w:ascii="Arial" w:hAnsi="Arial" w:cs="Arial"/>
          <w:sz w:val="20"/>
        </w:rPr>
        <w:t xml:space="preserve">AD bude vykonáván na vyžádání ze strany zadavatele. Předmět, termín a místo výkonu AD budou dohodnuty vždy individuálně při každé výzvě zadavatele. </w:t>
      </w:r>
    </w:p>
    <w:p w:rsidR="00EE6A9E" w:rsidRPr="00EE6A9E" w:rsidRDefault="00EE6A9E" w:rsidP="00EE6A9E">
      <w:pPr>
        <w:pStyle w:val="Zkladntextodsazen21"/>
        <w:tabs>
          <w:tab w:val="left" w:pos="567"/>
        </w:tabs>
        <w:spacing w:after="120" w:line="276" w:lineRule="auto"/>
        <w:ind w:left="0" w:firstLine="0"/>
        <w:jc w:val="center"/>
        <w:rPr>
          <w:rFonts w:ascii="Arial" w:hAnsi="Arial" w:cs="Arial"/>
          <w:b/>
          <w:sz w:val="20"/>
          <w:u w:val="single"/>
        </w:rPr>
      </w:pPr>
      <w:r w:rsidRPr="00EE6A9E">
        <w:rPr>
          <w:rFonts w:ascii="Arial" w:hAnsi="Arial" w:cs="Arial"/>
          <w:b/>
          <w:sz w:val="20"/>
          <w:u w:val="single"/>
        </w:rPr>
        <w:t>Místo plnění/realizace</w:t>
      </w:r>
    </w:p>
    <w:p w:rsidR="00EE6A9E" w:rsidRPr="00EE6A9E" w:rsidRDefault="00EE6A9E" w:rsidP="00EE6A9E">
      <w:pPr>
        <w:spacing w:after="120"/>
        <w:ind w:left="-567"/>
        <w:rPr>
          <w:rFonts w:ascii="Arial" w:hAnsi="Arial" w:cs="Arial"/>
          <w:b/>
          <w:sz w:val="20"/>
          <w:szCs w:val="20"/>
          <w:u w:val="single"/>
        </w:rPr>
      </w:pPr>
      <w:r w:rsidRPr="00EE6A9E">
        <w:rPr>
          <w:rFonts w:ascii="Arial" w:hAnsi="Arial" w:cs="Arial"/>
          <w:sz w:val="20"/>
          <w:szCs w:val="20"/>
        </w:rPr>
        <w:t>Místo stavby – Kraj Vysočina, okres Pelhřimov,  obec Zajíčkov</w:t>
      </w:r>
    </w:p>
    <w:p w:rsidR="00EE6A9E" w:rsidRPr="00EE6A9E" w:rsidRDefault="00EE6A9E" w:rsidP="00EE6A9E">
      <w:pPr>
        <w:ind w:left="-142" w:right="-709" w:hanging="425"/>
        <w:jc w:val="center"/>
        <w:rPr>
          <w:rFonts w:ascii="Arial" w:hAnsi="Arial" w:cs="Arial"/>
          <w:b/>
          <w:sz w:val="20"/>
          <w:szCs w:val="20"/>
          <w:u w:val="single"/>
        </w:rPr>
      </w:pPr>
      <w:r w:rsidRPr="00EE6A9E">
        <w:rPr>
          <w:rFonts w:ascii="Arial" w:hAnsi="Arial" w:cs="Arial"/>
          <w:b/>
          <w:sz w:val="20"/>
          <w:szCs w:val="20"/>
          <w:u w:val="single"/>
        </w:rPr>
        <w:t>Veřejný provoz</w:t>
      </w:r>
    </w:p>
    <w:p w:rsidR="00EE6A9E" w:rsidRPr="00EE6A9E" w:rsidRDefault="00EE6A9E" w:rsidP="00EE6A9E">
      <w:pPr>
        <w:ind w:left="-142" w:right="-709" w:hanging="425"/>
        <w:rPr>
          <w:rFonts w:ascii="Arial" w:hAnsi="Arial" w:cs="Arial"/>
          <w:sz w:val="20"/>
          <w:szCs w:val="20"/>
        </w:rPr>
      </w:pPr>
      <w:r w:rsidRPr="00EE6A9E">
        <w:rPr>
          <w:rFonts w:ascii="Arial" w:hAnsi="Arial" w:cs="Arial"/>
          <w:sz w:val="20"/>
          <w:szCs w:val="20"/>
        </w:rPr>
        <w:t>Zadavatel předpokládá, že projektovaná rekonstrukce bude probíhat za částečné uzavírky silničního provozu.</w:t>
      </w:r>
    </w:p>
    <w:p w:rsidR="00EE6A9E" w:rsidRPr="00EE6A9E" w:rsidRDefault="00EE6A9E" w:rsidP="00EE6A9E">
      <w:pPr>
        <w:ind w:left="-142" w:right="-709" w:hanging="425"/>
        <w:jc w:val="center"/>
        <w:rPr>
          <w:rFonts w:ascii="Arial" w:hAnsi="Arial" w:cs="Arial"/>
          <w:b/>
          <w:sz w:val="20"/>
          <w:szCs w:val="20"/>
          <w:u w:val="single"/>
        </w:rPr>
      </w:pPr>
      <w:r w:rsidRPr="00EE6A9E">
        <w:rPr>
          <w:rFonts w:ascii="Arial" w:hAnsi="Arial" w:cs="Arial"/>
          <w:b/>
          <w:sz w:val="20"/>
          <w:szCs w:val="20"/>
          <w:u w:val="single"/>
        </w:rPr>
        <w:t>Seznam poskytnu</w:t>
      </w:r>
      <w:r w:rsidR="00045F0C">
        <w:rPr>
          <w:rFonts w:ascii="Arial" w:hAnsi="Arial" w:cs="Arial"/>
          <w:b/>
          <w:sz w:val="20"/>
          <w:szCs w:val="20"/>
          <w:u w:val="single"/>
        </w:rPr>
        <w:t>t</w:t>
      </w:r>
      <w:bookmarkStart w:id="0" w:name="_GoBack"/>
      <w:bookmarkEnd w:id="0"/>
      <w:r w:rsidRPr="00EE6A9E">
        <w:rPr>
          <w:rFonts w:ascii="Arial" w:hAnsi="Arial" w:cs="Arial"/>
          <w:b/>
          <w:sz w:val="20"/>
          <w:szCs w:val="20"/>
          <w:u w:val="single"/>
        </w:rPr>
        <w:t>ých podkladů</w:t>
      </w:r>
    </w:p>
    <w:p w:rsidR="00EE6A9E" w:rsidRPr="00EE6A9E" w:rsidRDefault="00EE6A9E" w:rsidP="00EE6A9E">
      <w:pPr>
        <w:pStyle w:val="3"/>
        <w:numPr>
          <w:ilvl w:val="0"/>
          <w:numId w:val="23"/>
        </w:numPr>
        <w:spacing w:before="0" w:after="0" w:line="276" w:lineRule="auto"/>
        <w:ind w:left="-142" w:right="-709" w:hanging="425"/>
        <w:rPr>
          <w:rFonts w:ascii="Arial" w:hAnsi="Arial" w:cs="Arial"/>
          <w:sz w:val="20"/>
          <w:szCs w:val="20"/>
        </w:rPr>
      </w:pPr>
      <w:r w:rsidRPr="00EE6A9E">
        <w:rPr>
          <w:rFonts w:ascii="Arial" w:hAnsi="Arial" w:cs="Arial"/>
          <w:sz w:val="20"/>
          <w:szCs w:val="20"/>
        </w:rPr>
        <w:t>Přehledná situace</w:t>
      </w:r>
    </w:p>
    <w:p w:rsidR="00EE6A9E" w:rsidRPr="00EE6A9E" w:rsidRDefault="00EE6A9E" w:rsidP="00EE6A9E">
      <w:pPr>
        <w:pStyle w:val="3"/>
        <w:spacing w:before="0" w:after="0" w:line="276" w:lineRule="auto"/>
        <w:ind w:left="-142" w:right="-709" w:hanging="425"/>
        <w:rPr>
          <w:rFonts w:ascii="Arial" w:hAnsi="Arial" w:cs="Arial"/>
          <w:sz w:val="20"/>
          <w:szCs w:val="20"/>
        </w:rPr>
      </w:pPr>
    </w:p>
    <w:p w:rsidR="00EE6A9E" w:rsidRPr="00EE6A9E" w:rsidRDefault="00EE6A9E" w:rsidP="00EE6A9E">
      <w:pPr>
        <w:pStyle w:val="3"/>
        <w:spacing w:before="0" w:after="0" w:line="276" w:lineRule="auto"/>
        <w:ind w:left="-142" w:right="-709" w:hanging="425"/>
        <w:rPr>
          <w:rFonts w:ascii="Arial" w:hAnsi="Arial" w:cs="Arial"/>
          <w:b/>
          <w:sz w:val="20"/>
          <w:szCs w:val="20"/>
          <w:u w:val="single"/>
        </w:rPr>
      </w:pPr>
    </w:p>
    <w:tbl>
      <w:tblPr>
        <w:tblW w:w="9160" w:type="dxa"/>
        <w:tblCellMar>
          <w:left w:w="70" w:type="dxa"/>
          <w:right w:w="70" w:type="dxa"/>
        </w:tblCellMar>
        <w:tblLook w:val="04A0" w:firstRow="1" w:lastRow="0" w:firstColumn="1" w:lastColumn="0" w:noHBand="0" w:noVBand="1"/>
      </w:tblPr>
      <w:tblGrid>
        <w:gridCol w:w="4106"/>
        <w:gridCol w:w="5054"/>
      </w:tblGrid>
      <w:tr w:rsidR="00EE6A9E" w:rsidRPr="00EE6A9E" w:rsidTr="003A3F66">
        <w:trPr>
          <w:trHeight w:val="340"/>
        </w:trPr>
        <w:tc>
          <w:tcPr>
            <w:tcW w:w="9160" w:type="dxa"/>
            <w:gridSpan w:val="2"/>
            <w:tcBorders>
              <w:top w:val="single" w:sz="4" w:space="0" w:color="auto"/>
              <w:left w:val="single" w:sz="4" w:space="0" w:color="auto"/>
              <w:bottom w:val="single" w:sz="4" w:space="0" w:color="auto"/>
              <w:right w:val="single" w:sz="4" w:space="0" w:color="auto"/>
            </w:tcBorders>
            <w:shd w:val="clear" w:color="000000" w:fill="FFCC00"/>
            <w:noWrap/>
            <w:vAlign w:val="center"/>
            <w:hideMark/>
          </w:tcPr>
          <w:p w:rsidR="00EE6A9E" w:rsidRPr="00EE6A9E" w:rsidRDefault="00EE6A9E" w:rsidP="003A3F66">
            <w:pPr>
              <w:pStyle w:val="Tp"/>
              <w:jc w:val="center"/>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Lhůty plnění:</w:t>
            </w:r>
          </w:p>
        </w:tc>
      </w:tr>
      <w:tr w:rsidR="00EE6A9E" w:rsidRPr="00EE6A9E" w:rsidTr="003A3F66">
        <w:trPr>
          <w:trHeight w:val="99"/>
        </w:trPr>
        <w:tc>
          <w:tcPr>
            <w:tcW w:w="4106" w:type="dxa"/>
            <w:tcBorders>
              <w:top w:val="nil"/>
              <w:left w:val="nil"/>
              <w:bottom w:val="nil"/>
              <w:right w:val="nil"/>
            </w:tcBorders>
            <w:shd w:val="clear" w:color="auto" w:fill="auto"/>
            <w:noWrap/>
            <w:hideMark/>
          </w:tcPr>
          <w:p w:rsidR="00EE6A9E" w:rsidRPr="00EE6A9E" w:rsidRDefault="00EE6A9E" w:rsidP="003A3F66">
            <w:pPr>
              <w:pStyle w:val="Tp"/>
              <w:rPr>
                <w:rFonts w:ascii="Arial" w:eastAsia="Times New Roman" w:hAnsi="Arial" w:cs="Arial"/>
                <w:color w:val="000000"/>
                <w:sz w:val="20"/>
                <w:szCs w:val="20"/>
                <w:lang w:eastAsia="cs-CZ"/>
              </w:rPr>
            </w:pPr>
          </w:p>
        </w:tc>
        <w:tc>
          <w:tcPr>
            <w:tcW w:w="5054" w:type="dxa"/>
            <w:tcBorders>
              <w:top w:val="nil"/>
              <w:left w:val="nil"/>
              <w:bottom w:val="nil"/>
              <w:right w:val="nil"/>
            </w:tcBorders>
            <w:shd w:val="clear" w:color="auto" w:fill="auto"/>
            <w:noWrap/>
            <w:hideMark/>
          </w:tcPr>
          <w:p w:rsidR="00EE6A9E" w:rsidRPr="00EE6A9E" w:rsidRDefault="00EE6A9E" w:rsidP="003A3F66">
            <w:pPr>
              <w:pStyle w:val="Tp"/>
              <w:rPr>
                <w:rFonts w:ascii="Arial" w:eastAsia="Times New Roman" w:hAnsi="Arial" w:cs="Arial"/>
                <w:sz w:val="20"/>
                <w:szCs w:val="20"/>
                <w:lang w:eastAsia="cs-CZ"/>
              </w:rPr>
            </w:pPr>
          </w:p>
        </w:tc>
      </w:tr>
      <w:tr w:rsidR="00EE6A9E" w:rsidRPr="00EE6A9E" w:rsidTr="003A3F66">
        <w:trPr>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Zahájení realizace</w:t>
            </w:r>
          </w:p>
        </w:tc>
        <w:tc>
          <w:tcPr>
            <w:tcW w:w="5054" w:type="dxa"/>
            <w:tcBorders>
              <w:top w:val="single" w:sz="4" w:space="0" w:color="auto"/>
              <w:left w:val="nil"/>
              <w:bottom w:val="single" w:sz="4" w:space="0" w:color="auto"/>
              <w:right w:val="single" w:sz="4" w:space="0" w:color="auto"/>
            </w:tcBorders>
            <w:shd w:val="clear" w:color="auto" w:fill="auto"/>
            <w:vAlign w:val="bottom"/>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ihned po nabytí účinnosti smlouvy</w:t>
            </w:r>
          </w:p>
        </w:tc>
      </w:tr>
      <w:tr w:rsidR="00EE6A9E" w:rsidRPr="00EE6A9E" w:rsidTr="003A3F66">
        <w:trPr>
          <w:trHeight w:val="20"/>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IGP průzkum a návrh technického řešení</w:t>
            </w:r>
          </w:p>
        </w:tc>
        <w:tc>
          <w:tcPr>
            <w:tcW w:w="5054" w:type="dxa"/>
            <w:tcBorders>
              <w:top w:val="nil"/>
              <w:left w:val="nil"/>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90 dnů od nabytí účinnosti smlouvy</w:t>
            </w:r>
          </w:p>
        </w:tc>
      </w:tr>
      <w:tr w:rsidR="00EE6A9E" w:rsidRPr="00EE6A9E" w:rsidTr="003A3F66">
        <w:trPr>
          <w:trHeight w:val="20"/>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Dokumentace DPS (koncept)</w:t>
            </w:r>
          </w:p>
        </w:tc>
        <w:tc>
          <w:tcPr>
            <w:tcW w:w="5054" w:type="dxa"/>
            <w:tcBorders>
              <w:top w:val="nil"/>
              <w:left w:val="nil"/>
              <w:bottom w:val="single" w:sz="4" w:space="0" w:color="auto"/>
              <w:right w:val="single" w:sz="4" w:space="0" w:color="auto"/>
            </w:tcBorders>
            <w:shd w:val="clear" w:color="auto" w:fill="auto"/>
            <w:vAlign w:val="bottom"/>
            <w:hideMark/>
          </w:tcPr>
          <w:p w:rsidR="00EE6A9E" w:rsidRPr="00EE6A9E" w:rsidRDefault="00EE6A9E" w:rsidP="003A3F66">
            <w:pPr>
              <w:pStyle w:val="Tp"/>
              <w:rPr>
                <w:rFonts w:ascii="Arial" w:hAnsi="Arial" w:cs="Arial"/>
                <w:color w:val="000000"/>
                <w:sz w:val="20"/>
                <w:szCs w:val="20"/>
              </w:rPr>
            </w:pPr>
            <w:r w:rsidRPr="00EE6A9E">
              <w:rPr>
                <w:rFonts w:ascii="Arial" w:hAnsi="Arial" w:cs="Arial"/>
                <w:color w:val="000000"/>
                <w:sz w:val="20"/>
                <w:szCs w:val="20"/>
              </w:rPr>
              <w:t xml:space="preserve">do 150 dnů od nabytí účinnosti smlouvy </w:t>
            </w:r>
          </w:p>
        </w:tc>
      </w:tr>
      <w:tr w:rsidR="00EE6A9E" w:rsidRPr="00EE6A9E" w:rsidTr="003A3F66">
        <w:trPr>
          <w:trHeight w:val="20"/>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sz w:val="20"/>
                <w:szCs w:val="20"/>
                <w:lang w:eastAsia="cs-CZ"/>
              </w:rPr>
            </w:pPr>
            <w:r w:rsidRPr="00EE6A9E">
              <w:rPr>
                <w:rFonts w:ascii="Arial" w:eastAsia="Times New Roman" w:hAnsi="Arial" w:cs="Arial"/>
                <w:color w:val="000000"/>
                <w:sz w:val="20"/>
                <w:szCs w:val="20"/>
                <w:lang w:eastAsia="cs-CZ"/>
              </w:rPr>
              <w:t>Dokumentace DPS (</w:t>
            </w:r>
            <w:r w:rsidRPr="00EE6A9E">
              <w:rPr>
                <w:rFonts w:ascii="Arial" w:eastAsia="Times New Roman" w:hAnsi="Arial" w:cs="Arial"/>
                <w:sz w:val="20"/>
                <w:szCs w:val="20"/>
                <w:lang w:eastAsia="cs-CZ"/>
              </w:rPr>
              <w:t xml:space="preserve">čistopis) </w:t>
            </w:r>
          </w:p>
        </w:tc>
        <w:tc>
          <w:tcPr>
            <w:tcW w:w="5054" w:type="dxa"/>
            <w:tcBorders>
              <w:top w:val="nil"/>
              <w:left w:val="nil"/>
              <w:bottom w:val="single" w:sz="4" w:space="0" w:color="auto"/>
              <w:right w:val="single" w:sz="4" w:space="0" w:color="auto"/>
            </w:tcBorders>
            <w:shd w:val="clear" w:color="auto" w:fill="auto"/>
            <w:vAlign w:val="bottom"/>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60 dnů od předání konceptu DPS</w:t>
            </w:r>
          </w:p>
        </w:tc>
      </w:tr>
      <w:tr w:rsidR="00EE6A9E" w:rsidRPr="00EE6A9E" w:rsidTr="003A3F66">
        <w:trPr>
          <w:trHeight w:val="20"/>
        </w:trPr>
        <w:tc>
          <w:tcPr>
            <w:tcW w:w="4106" w:type="dxa"/>
            <w:tcBorders>
              <w:top w:val="nil"/>
              <w:left w:val="single" w:sz="4" w:space="0" w:color="auto"/>
              <w:bottom w:val="nil"/>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Podání žádosti pro povolení stavebního záměru</w:t>
            </w:r>
          </w:p>
        </w:tc>
        <w:tc>
          <w:tcPr>
            <w:tcW w:w="5054" w:type="dxa"/>
            <w:tcBorders>
              <w:top w:val="nil"/>
              <w:left w:val="nil"/>
              <w:bottom w:val="nil"/>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14 dnů od předání čistopisu DPS</w:t>
            </w:r>
          </w:p>
        </w:tc>
      </w:tr>
      <w:tr w:rsidR="00EE6A9E" w:rsidRPr="00EE6A9E" w:rsidTr="003A3F66">
        <w:trPr>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 xml:space="preserve">Dokumentace PDPS </w:t>
            </w:r>
          </w:p>
        </w:tc>
        <w:tc>
          <w:tcPr>
            <w:tcW w:w="5054" w:type="dxa"/>
            <w:tcBorders>
              <w:top w:val="single" w:sz="4" w:space="0" w:color="auto"/>
              <w:left w:val="nil"/>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60 dnů od vydání pravomocného SZ</w:t>
            </w:r>
          </w:p>
        </w:tc>
      </w:tr>
      <w:tr w:rsidR="00EE6A9E" w:rsidRPr="00EE6A9E" w:rsidTr="003A3F66">
        <w:trPr>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Předpoklad zahájení výkonu autorského dozoru</w:t>
            </w:r>
          </w:p>
        </w:tc>
        <w:tc>
          <w:tcPr>
            <w:tcW w:w="5054" w:type="dxa"/>
            <w:tcBorders>
              <w:top w:val="single" w:sz="4" w:space="0" w:color="auto"/>
              <w:left w:val="nil"/>
              <w:bottom w:val="single" w:sz="4" w:space="0" w:color="auto"/>
              <w:right w:val="single" w:sz="4" w:space="0" w:color="auto"/>
            </w:tcBorders>
            <w:shd w:val="clear" w:color="auto" w:fill="auto"/>
            <w:vAlign w:val="center"/>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60 měsíců od vydání pravomocného povolení záměru</w:t>
            </w:r>
          </w:p>
        </w:tc>
      </w:tr>
      <w:tr w:rsidR="00EE6A9E" w:rsidRPr="00EE6A9E" w:rsidTr="003A3F66">
        <w:trPr>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tcPr>
          <w:p w:rsidR="00EE6A9E" w:rsidRPr="00EE6A9E" w:rsidRDefault="00EE6A9E" w:rsidP="003A3F66">
            <w:pPr>
              <w:pStyle w:val="Tp"/>
              <w:spacing w:line="240" w:lineRule="auto"/>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Změna záměru (čistopis, včetně soupisu prací, odsouhlasená objednatelem a TDS)</w:t>
            </w:r>
          </w:p>
        </w:tc>
        <w:tc>
          <w:tcPr>
            <w:tcW w:w="5054" w:type="dxa"/>
            <w:tcBorders>
              <w:top w:val="single" w:sz="4" w:space="0" w:color="auto"/>
              <w:left w:val="nil"/>
              <w:bottom w:val="single" w:sz="4" w:space="0" w:color="auto"/>
              <w:right w:val="single" w:sz="4" w:space="0" w:color="auto"/>
            </w:tcBorders>
            <w:shd w:val="clear" w:color="auto" w:fill="auto"/>
            <w:vAlign w:val="center"/>
          </w:tcPr>
          <w:p w:rsidR="00EE6A9E" w:rsidRPr="00EE6A9E" w:rsidRDefault="00EE6A9E" w:rsidP="003A3F66">
            <w:pPr>
              <w:pStyle w:val="Tp"/>
              <w:spacing w:line="240" w:lineRule="auto"/>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15 dnů od zjištění, následně neprodleně zajistit ostatní požadované přílohy</w:t>
            </w:r>
          </w:p>
        </w:tc>
      </w:tr>
    </w:tbl>
    <w:p w:rsidR="00EE6A9E" w:rsidRPr="00EE6A9E" w:rsidRDefault="00EE6A9E" w:rsidP="00EE6A9E">
      <w:pPr>
        <w:pStyle w:val="Tp"/>
        <w:rPr>
          <w:rFonts w:ascii="Arial" w:hAnsi="Arial" w:cs="Arial"/>
          <w:color w:val="000000"/>
          <w:sz w:val="20"/>
          <w:szCs w:val="20"/>
        </w:rPr>
      </w:pPr>
    </w:p>
    <w:p w:rsidR="00EE6A9E" w:rsidRPr="00EE6A9E" w:rsidRDefault="00EE6A9E" w:rsidP="00EE6A9E">
      <w:pPr>
        <w:pStyle w:val="Tp"/>
        <w:rPr>
          <w:rFonts w:ascii="Arial" w:hAnsi="Arial" w:cs="Arial"/>
          <w:color w:val="000000"/>
          <w:sz w:val="20"/>
          <w:szCs w:val="20"/>
        </w:rPr>
      </w:pPr>
      <w:r w:rsidRPr="00EE6A9E">
        <w:rPr>
          <w:rFonts w:ascii="Arial" w:hAnsi="Arial" w:cs="Arial"/>
          <w:color w:val="000000"/>
          <w:sz w:val="20"/>
          <w:szCs w:val="20"/>
        </w:rPr>
        <w:t>* projednání s DOSS (odsouhlasené objednatelem)</w:t>
      </w:r>
    </w:p>
    <w:p w:rsidR="00EE6A9E" w:rsidRPr="00EE6A9E" w:rsidRDefault="00EE6A9E" w:rsidP="00EE6A9E">
      <w:pPr>
        <w:pStyle w:val="Tp"/>
        <w:rPr>
          <w:rFonts w:ascii="Arial" w:eastAsia="Times New Roman" w:hAnsi="Arial" w:cs="Arial"/>
          <w:color w:val="000000"/>
          <w:sz w:val="20"/>
          <w:szCs w:val="20"/>
          <w:lang w:eastAsia="cs-CZ"/>
        </w:rPr>
      </w:pPr>
      <w:r w:rsidRPr="00EE6A9E">
        <w:rPr>
          <w:rFonts w:ascii="Arial" w:hAnsi="Arial" w:cs="Arial"/>
          <w:color w:val="000000"/>
          <w:sz w:val="20"/>
          <w:szCs w:val="20"/>
        </w:rPr>
        <w:t>** termín lze prodloužit na základě písemného oznámení zhotovitele v závislosti</w:t>
      </w:r>
      <w:r w:rsidRPr="00EE6A9E">
        <w:rPr>
          <w:rFonts w:ascii="Arial" w:eastAsia="Times New Roman" w:hAnsi="Arial" w:cs="Arial"/>
          <w:color w:val="000000"/>
          <w:sz w:val="20"/>
          <w:szCs w:val="20"/>
          <w:lang w:eastAsia="cs-CZ"/>
        </w:rPr>
        <w:t xml:space="preserve"> na dokončení IČ. Datum dokončení IČ, je zhotovitel povinen ohlásit do 3 dnů, od doby, kdy tato skutečnost nastala (byla dokončena IČ) </w:t>
      </w:r>
    </w:p>
    <w:p w:rsidR="00F16ACF" w:rsidRPr="00EE6A9E" w:rsidRDefault="00EE6A9E" w:rsidP="00267B3C">
      <w:pPr>
        <w:pStyle w:val="Tp"/>
        <w:rPr>
          <w:rFonts w:ascii="Arial" w:eastAsia="Times New Roman" w:hAnsi="Arial" w:cs="Arial"/>
          <w:sz w:val="20"/>
          <w:szCs w:val="20"/>
          <w:lang w:eastAsia="cs-CZ"/>
        </w:rPr>
      </w:pPr>
      <w:r w:rsidRPr="00EE6A9E">
        <w:rPr>
          <w:rFonts w:ascii="Arial" w:eastAsia="Times New Roman" w:hAnsi="Arial" w:cs="Arial"/>
          <w:color w:val="000000"/>
          <w:sz w:val="20"/>
          <w:szCs w:val="20"/>
          <w:lang w:eastAsia="cs-CZ"/>
        </w:rPr>
        <w:t>*** čistopis, včetně zapracování případných připomínek ze stavebního řízení a včetně soupisu prací, odsouhlasený objednatelem</w:t>
      </w:r>
    </w:p>
    <w:sectPr w:rsidR="00F16ACF" w:rsidRPr="00EE6A9E" w:rsidSect="0034703B">
      <w:headerReference w:type="default" r:id="rId9"/>
      <w:footerReference w:type="default" r:id="rId10"/>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045F0C">
      <w:rPr>
        <w:rFonts w:ascii="Arial" w:hAnsi="Arial" w:cs="Arial"/>
        <w:b/>
        <w:noProof/>
        <w:sz w:val="16"/>
        <w:szCs w:val="16"/>
      </w:rPr>
      <w:t>5</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045F0C">
      <w:rPr>
        <w:rFonts w:ascii="Arial" w:hAnsi="Arial" w:cs="Arial"/>
        <w:b/>
        <w:noProof/>
        <w:sz w:val="16"/>
        <w:szCs w:val="16"/>
      </w:rPr>
      <w:t>5</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5AD99DA6" wp14:editId="6981C4CA">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26036A"/>
    <w:multiLevelType w:val="hybridMultilevel"/>
    <w:tmpl w:val="70EA39A2"/>
    <w:lvl w:ilvl="0" w:tplc="6680DCC2">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9" w15:restartNumberingAfterBreak="0">
    <w:nsid w:val="53261549"/>
    <w:multiLevelType w:val="hybridMultilevel"/>
    <w:tmpl w:val="BD7CBBF4"/>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0"/>
  </w:num>
  <w:num w:numId="4">
    <w:abstractNumId w:val="15"/>
  </w:num>
  <w:num w:numId="5">
    <w:abstractNumId w:val="11"/>
  </w:num>
  <w:num w:numId="6">
    <w:abstractNumId w:val="14"/>
  </w:num>
  <w:num w:numId="7">
    <w:abstractNumId w:val="13"/>
  </w:num>
  <w:num w:numId="8">
    <w:abstractNumId w:val="5"/>
  </w:num>
  <w:num w:numId="9">
    <w:abstractNumId w:val="12"/>
  </w:num>
  <w:num w:numId="10">
    <w:abstractNumId w:val="4"/>
  </w:num>
  <w:num w:numId="11">
    <w:abstractNumId w:val="6"/>
  </w:num>
  <w:num w:numId="12">
    <w:abstractNumId w:val="1"/>
  </w:num>
  <w:num w:numId="13">
    <w:abstractNumId w:val="8"/>
  </w:num>
  <w:num w:numId="14">
    <w:abstractNumId w:val="25"/>
  </w:num>
  <w:num w:numId="15">
    <w:abstractNumId w:val="21"/>
  </w:num>
  <w:num w:numId="16">
    <w:abstractNumId w:val="2"/>
  </w:num>
  <w:num w:numId="17">
    <w:abstractNumId w:val="9"/>
  </w:num>
  <w:num w:numId="18">
    <w:abstractNumId w:val="26"/>
  </w:num>
  <w:num w:numId="19">
    <w:abstractNumId w:val="20"/>
  </w:num>
  <w:num w:numId="20">
    <w:abstractNumId w:val="17"/>
  </w:num>
  <w:num w:numId="21">
    <w:abstractNumId w:val="3"/>
  </w:num>
  <w:num w:numId="22">
    <w:abstractNumId w:val="22"/>
  </w:num>
  <w:num w:numId="23">
    <w:abstractNumId w:val="18"/>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2"/>
  </w:num>
  <w:num w:numId="27">
    <w:abstractNumId w:val="23"/>
  </w:num>
  <w:num w:numId="28">
    <w:abstractNumId w:val="22"/>
  </w:num>
  <w:num w:numId="29">
    <w:abstractNumId w:val="19"/>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116A8"/>
    <w:rsid w:val="00031B59"/>
    <w:rsid w:val="00032DF2"/>
    <w:rsid w:val="00033EC2"/>
    <w:rsid w:val="00045F0C"/>
    <w:rsid w:val="00077603"/>
    <w:rsid w:val="00085A7A"/>
    <w:rsid w:val="00087015"/>
    <w:rsid w:val="00091A0B"/>
    <w:rsid w:val="00105330"/>
    <w:rsid w:val="001310C6"/>
    <w:rsid w:val="00143858"/>
    <w:rsid w:val="00150F88"/>
    <w:rsid w:val="0016103B"/>
    <w:rsid w:val="00167A1E"/>
    <w:rsid w:val="00172C17"/>
    <w:rsid w:val="00174D7F"/>
    <w:rsid w:val="0018382D"/>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64E92"/>
    <w:rsid w:val="00267B3C"/>
    <w:rsid w:val="002715B4"/>
    <w:rsid w:val="002819DD"/>
    <w:rsid w:val="00294439"/>
    <w:rsid w:val="002A2808"/>
    <w:rsid w:val="002A70F8"/>
    <w:rsid w:val="002B7C5F"/>
    <w:rsid w:val="002C6714"/>
    <w:rsid w:val="002D116F"/>
    <w:rsid w:val="002D2AC8"/>
    <w:rsid w:val="002D3495"/>
    <w:rsid w:val="00322187"/>
    <w:rsid w:val="00335791"/>
    <w:rsid w:val="0034703B"/>
    <w:rsid w:val="00355D64"/>
    <w:rsid w:val="003634A2"/>
    <w:rsid w:val="003A6635"/>
    <w:rsid w:val="003B523E"/>
    <w:rsid w:val="003C0016"/>
    <w:rsid w:val="003C5BC7"/>
    <w:rsid w:val="003D36F1"/>
    <w:rsid w:val="00405F21"/>
    <w:rsid w:val="00413BFA"/>
    <w:rsid w:val="0043662A"/>
    <w:rsid w:val="00437E4E"/>
    <w:rsid w:val="00487EB6"/>
    <w:rsid w:val="004B1D1B"/>
    <w:rsid w:val="004B2925"/>
    <w:rsid w:val="004B3A5B"/>
    <w:rsid w:val="004B4D66"/>
    <w:rsid w:val="004C2E7C"/>
    <w:rsid w:val="004C3D34"/>
    <w:rsid w:val="004D7ECC"/>
    <w:rsid w:val="004E26C7"/>
    <w:rsid w:val="004F4618"/>
    <w:rsid w:val="005252AA"/>
    <w:rsid w:val="0052571B"/>
    <w:rsid w:val="005562DB"/>
    <w:rsid w:val="005655EF"/>
    <w:rsid w:val="00575531"/>
    <w:rsid w:val="00580C51"/>
    <w:rsid w:val="005875BA"/>
    <w:rsid w:val="005A2999"/>
    <w:rsid w:val="005E469A"/>
    <w:rsid w:val="005E59F4"/>
    <w:rsid w:val="00605337"/>
    <w:rsid w:val="0060692D"/>
    <w:rsid w:val="00627D75"/>
    <w:rsid w:val="00633927"/>
    <w:rsid w:val="00635E1D"/>
    <w:rsid w:val="00651DA9"/>
    <w:rsid w:val="00651F7A"/>
    <w:rsid w:val="00660B95"/>
    <w:rsid w:val="006679C4"/>
    <w:rsid w:val="00683DAC"/>
    <w:rsid w:val="006916B1"/>
    <w:rsid w:val="006A0285"/>
    <w:rsid w:val="006A3AD9"/>
    <w:rsid w:val="006F2099"/>
    <w:rsid w:val="00723546"/>
    <w:rsid w:val="007349F9"/>
    <w:rsid w:val="00745A6C"/>
    <w:rsid w:val="007462B8"/>
    <w:rsid w:val="007524A0"/>
    <w:rsid w:val="00756EC0"/>
    <w:rsid w:val="0076591D"/>
    <w:rsid w:val="00771D72"/>
    <w:rsid w:val="00781C90"/>
    <w:rsid w:val="00794F75"/>
    <w:rsid w:val="007D1374"/>
    <w:rsid w:val="007E6FEB"/>
    <w:rsid w:val="007F411D"/>
    <w:rsid w:val="007F463F"/>
    <w:rsid w:val="008023D2"/>
    <w:rsid w:val="00817C5F"/>
    <w:rsid w:val="008209FA"/>
    <w:rsid w:val="00844B90"/>
    <w:rsid w:val="0085017D"/>
    <w:rsid w:val="008661DA"/>
    <w:rsid w:val="008742AE"/>
    <w:rsid w:val="0088350B"/>
    <w:rsid w:val="00884EBA"/>
    <w:rsid w:val="008B37FB"/>
    <w:rsid w:val="008B5E8C"/>
    <w:rsid w:val="008D4372"/>
    <w:rsid w:val="008E5B75"/>
    <w:rsid w:val="008F1380"/>
    <w:rsid w:val="008F2428"/>
    <w:rsid w:val="008F6E44"/>
    <w:rsid w:val="00903D67"/>
    <w:rsid w:val="009153D3"/>
    <w:rsid w:val="009333EF"/>
    <w:rsid w:val="00946275"/>
    <w:rsid w:val="009470C5"/>
    <w:rsid w:val="00955CD4"/>
    <w:rsid w:val="0095682B"/>
    <w:rsid w:val="00966055"/>
    <w:rsid w:val="00972FC3"/>
    <w:rsid w:val="00981014"/>
    <w:rsid w:val="009B0C47"/>
    <w:rsid w:val="009B37C8"/>
    <w:rsid w:val="009E5449"/>
    <w:rsid w:val="00A02A92"/>
    <w:rsid w:val="00A02C1A"/>
    <w:rsid w:val="00A111D2"/>
    <w:rsid w:val="00A258B6"/>
    <w:rsid w:val="00A44DF5"/>
    <w:rsid w:val="00A56428"/>
    <w:rsid w:val="00A63D56"/>
    <w:rsid w:val="00A93CA0"/>
    <w:rsid w:val="00AA21EC"/>
    <w:rsid w:val="00AA42F6"/>
    <w:rsid w:val="00AA76D7"/>
    <w:rsid w:val="00AB286A"/>
    <w:rsid w:val="00AC3FE3"/>
    <w:rsid w:val="00AC4AB1"/>
    <w:rsid w:val="00AF5D3F"/>
    <w:rsid w:val="00B0273E"/>
    <w:rsid w:val="00B13108"/>
    <w:rsid w:val="00B31119"/>
    <w:rsid w:val="00B3596C"/>
    <w:rsid w:val="00B41130"/>
    <w:rsid w:val="00B4147B"/>
    <w:rsid w:val="00B4322A"/>
    <w:rsid w:val="00B44286"/>
    <w:rsid w:val="00B545BC"/>
    <w:rsid w:val="00B64492"/>
    <w:rsid w:val="00B72CB0"/>
    <w:rsid w:val="00BA0515"/>
    <w:rsid w:val="00BD08E8"/>
    <w:rsid w:val="00BE3B79"/>
    <w:rsid w:val="00BF4D4C"/>
    <w:rsid w:val="00C040A0"/>
    <w:rsid w:val="00C0508D"/>
    <w:rsid w:val="00C25DCD"/>
    <w:rsid w:val="00C34F5B"/>
    <w:rsid w:val="00C52667"/>
    <w:rsid w:val="00C65520"/>
    <w:rsid w:val="00CB1CE3"/>
    <w:rsid w:val="00CD6C0B"/>
    <w:rsid w:val="00CF3EA0"/>
    <w:rsid w:val="00D1051F"/>
    <w:rsid w:val="00D21DBE"/>
    <w:rsid w:val="00D24A4F"/>
    <w:rsid w:val="00D27F79"/>
    <w:rsid w:val="00D674D6"/>
    <w:rsid w:val="00D80C8B"/>
    <w:rsid w:val="00D83014"/>
    <w:rsid w:val="00D9018D"/>
    <w:rsid w:val="00DA5742"/>
    <w:rsid w:val="00DE107F"/>
    <w:rsid w:val="00DF3229"/>
    <w:rsid w:val="00E02F34"/>
    <w:rsid w:val="00E07484"/>
    <w:rsid w:val="00E12753"/>
    <w:rsid w:val="00E26473"/>
    <w:rsid w:val="00E336FE"/>
    <w:rsid w:val="00E36ADA"/>
    <w:rsid w:val="00EA03AD"/>
    <w:rsid w:val="00EC5DCC"/>
    <w:rsid w:val="00ED28F8"/>
    <w:rsid w:val="00ED43D1"/>
    <w:rsid w:val="00EE2E2A"/>
    <w:rsid w:val="00EE6A9E"/>
    <w:rsid w:val="00F06AAB"/>
    <w:rsid w:val="00F11900"/>
    <w:rsid w:val="00F15CA5"/>
    <w:rsid w:val="00F16ACF"/>
    <w:rsid w:val="00F230F4"/>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A4A343B"/>
  <w15:docId w15:val="{1F7B7858-40E4-410F-9E85-2887882F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link w:val="OdstavecseseznamemChar"/>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6F2099"/>
    <w:rPr>
      <w:color w:val="0000FF"/>
      <w:u w:val="single"/>
    </w:rPr>
  </w:style>
  <w:style w:type="paragraph" w:customStyle="1" w:styleId="TPproPD">
    <w:name w:val="TP pro PD"/>
    <w:basedOn w:val="Odstavecseseznamem"/>
    <w:link w:val="TPproPDChar"/>
    <w:qFormat/>
    <w:rsid w:val="006F2099"/>
    <w:pPr>
      <w:overflowPunct w:val="0"/>
      <w:autoSpaceDE w:val="0"/>
      <w:autoSpaceDN w:val="0"/>
      <w:adjustRightInd w:val="0"/>
      <w:spacing w:after="120"/>
      <w:ind w:left="284" w:hanging="284"/>
      <w:jc w:val="both"/>
      <w:textAlignment w:val="baseline"/>
    </w:pPr>
    <w:rPr>
      <w:rFonts w:ascii="Times New Roman" w:hAnsi="Times New Roman"/>
      <w:sz w:val="20"/>
      <w:szCs w:val="20"/>
      <w:lang w:eastAsia="cs-CZ"/>
    </w:rPr>
  </w:style>
  <w:style w:type="character" w:customStyle="1" w:styleId="OdstavecseseznamemChar">
    <w:name w:val="Odstavec se seznamem Char"/>
    <w:basedOn w:val="Standardnpsmoodstavce"/>
    <w:link w:val="Odstavecseseznamem"/>
    <w:uiPriority w:val="34"/>
    <w:rsid w:val="006F2099"/>
    <w:rPr>
      <w:rFonts w:ascii="Calibri" w:eastAsia="Calibri" w:hAnsi="Calibri" w:cs="Times New Roman"/>
    </w:rPr>
  </w:style>
  <w:style w:type="character" w:customStyle="1" w:styleId="TPproPDChar">
    <w:name w:val="TP pro PD Char"/>
    <w:basedOn w:val="OdstavecseseznamemChar"/>
    <w:link w:val="TPproPD"/>
    <w:rsid w:val="006F2099"/>
    <w:rPr>
      <w:rFonts w:ascii="Times New Roman" w:eastAsia="Calibri" w:hAnsi="Times New Roman" w:cs="Times New Roman"/>
      <w:sz w:val="20"/>
      <w:szCs w:val="20"/>
      <w:lang w:eastAsia="cs-CZ"/>
    </w:rPr>
  </w:style>
  <w:style w:type="paragraph" w:customStyle="1" w:styleId="Tp">
    <w:name w:val="Tp"/>
    <w:basedOn w:val="Normln"/>
    <w:qFormat/>
    <w:rsid w:val="00EE6A9E"/>
    <w:pPr>
      <w:spacing w:after="0" w:line="312"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4.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9E29B-FC11-4DE5-B123-0991D278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2516</Words>
  <Characters>14846</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Huryová Pavlína</cp:lastModifiedBy>
  <cp:revision>31</cp:revision>
  <cp:lastPrinted>2024-04-18T12:32:00Z</cp:lastPrinted>
  <dcterms:created xsi:type="dcterms:W3CDTF">2024-07-19T07:39:00Z</dcterms:created>
  <dcterms:modified xsi:type="dcterms:W3CDTF">2025-02-18T11:53:00Z</dcterms:modified>
</cp:coreProperties>
</file>